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58</w:t>
      </w:r>
      <w:r>
        <w:fldChar w:fldCharType="end"/>
      </w:r>
      <w:r>
        <w:fldChar w:fldCharType="end"/>
      </w:r>
    </w:p>
    <w:p>
      <w:r>
        <w:fldChar w:fldCharType="end"/>
      </w:r>
    </w:p>
    <w:p>
      <w:pPr>
        <w:pStyle w:val="3"/>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904霸州市应急管理局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1906.27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1764.15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1906.27</w:t>
            </w:r>
          </w:p>
        </w:tc>
        <w:tc>
          <w:tcPr>
            <w:tcW w:w="4535" w:type="dxa"/>
            <w:vAlign w:val="center"/>
          </w:tcPr>
          <w:p>
            <w:pPr>
              <w:pStyle w:val="16"/>
            </w:pPr>
            <w:r>
              <w:t>本年支出合计</w:t>
            </w:r>
          </w:p>
        </w:tc>
        <w:tc>
          <w:tcPr>
            <w:tcW w:w="2126" w:type="dxa"/>
            <w:vAlign w:val="center"/>
          </w:tcPr>
          <w:p>
            <w:pPr>
              <w:pStyle w:val="17"/>
            </w:pPr>
            <w:r>
              <w:t>1947.69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rPr>
                <w:rFonts w:hint="default" w:eastAsia="方正书宋_GBK"/>
                <w:lang w:val="en-US" w:eastAsia="zh-CN"/>
              </w:rPr>
            </w:pPr>
            <w:r>
              <w:rPr>
                <w:rFonts w:hint="eastAsia"/>
                <w:lang w:val="en-US" w:eastAsia="zh-CN"/>
              </w:rPr>
              <w:t>41.42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t>19</w:t>
            </w:r>
            <w:r>
              <w:rPr>
                <w:rFonts w:hint="eastAsia"/>
                <w:lang w:val="en-US" w:eastAsia="zh-CN"/>
              </w:rPr>
              <w:t>47.69</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t>19</w:t>
            </w:r>
            <w:r>
              <w:rPr>
                <w:rFonts w:hint="eastAsia"/>
                <w:lang w:val="en-US" w:eastAsia="zh-CN"/>
              </w:rPr>
              <w:t>47.69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904霸州市应急管理局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1947.69</w:t>
            </w:r>
          </w:p>
        </w:tc>
        <w:tc>
          <w:tcPr>
            <w:tcW w:w="1134" w:type="dxa"/>
            <w:vAlign w:val="center"/>
          </w:tcPr>
          <w:p>
            <w:pPr>
              <w:pStyle w:val="17"/>
            </w:pPr>
            <w:r>
              <w:t>1906.27</w:t>
            </w:r>
          </w:p>
        </w:tc>
        <w:tc>
          <w:tcPr>
            <w:tcW w:w="1134" w:type="dxa"/>
            <w:vAlign w:val="center"/>
          </w:tcPr>
          <w:p>
            <w:pPr>
              <w:pStyle w:val="17"/>
            </w:pPr>
            <w:r>
              <w:t>1906.27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102.10</w:t>
            </w:r>
          </w:p>
        </w:tc>
        <w:tc>
          <w:tcPr>
            <w:tcW w:w="1134" w:type="dxa"/>
            <w:vAlign w:val="center"/>
          </w:tcPr>
          <w:p>
            <w:pPr>
              <w:pStyle w:val="13"/>
            </w:pPr>
            <w:r>
              <w:t>102.10</w:t>
            </w:r>
          </w:p>
        </w:tc>
        <w:tc>
          <w:tcPr>
            <w:tcW w:w="1134" w:type="dxa"/>
            <w:vAlign w:val="center"/>
          </w:tcPr>
          <w:p>
            <w:pPr>
              <w:pStyle w:val="13"/>
            </w:pPr>
            <w:r>
              <w:t>102.10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102.10</w:t>
            </w:r>
          </w:p>
        </w:tc>
        <w:tc>
          <w:tcPr>
            <w:tcW w:w="1134" w:type="dxa"/>
            <w:vAlign w:val="center"/>
          </w:tcPr>
          <w:p>
            <w:pPr>
              <w:pStyle w:val="13"/>
            </w:pPr>
            <w:r>
              <w:t>102.10</w:t>
            </w:r>
          </w:p>
        </w:tc>
        <w:tc>
          <w:tcPr>
            <w:tcW w:w="1134" w:type="dxa"/>
            <w:vAlign w:val="center"/>
          </w:tcPr>
          <w:p>
            <w:pPr>
              <w:pStyle w:val="13"/>
            </w:pPr>
            <w:r>
              <w:t>102.10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19.06</w:t>
            </w:r>
          </w:p>
        </w:tc>
        <w:tc>
          <w:tcPr>
            <w:tcW w:w="1134" w:type="dxa"/>
            <w:vAlign w:val="center"/>
          </w:tcPr>
          <w:p>
            <w:pPr>
              <w:pStyle w:val="13"/>
            </w:pPr>
            <w:r>
              <w:t>19.06</w:t>
            </w:r>
          </w:p>
        </w:tc>
        <w:tc>
          <w:tcPr>
            <w:tcW w:w="1134" w:type="dxa"/>
            <w:vAlign w:val="center"/>
          </w:tcPr>
          <w:p>
            <w:pPr>
              <w:pStyle w:val="13"/>
            </w:pPr>
            <w:r>
              <w:t>19.06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71.25</w:t>
            </w:r>
          </w:p>
        </w:tc>
        <w:tc>
          <w:tcPr>
            <w:tcW w:w="1134" w:type="dxa"/>
            <w:vAlign w:val="center"/>
          </w:tcPr>
          <w:p>
            <w:pPr>
              <w:pStyle w:val="13"/>
            </w:pPr>
            <w:r>
              <w:t>71.25</w:t>
            </w:r>
          </w:p>
        </w:tc>
        <w:tc>
          <w:tcPr>
            <w:tcW w:w="1134" w:type="dxa"/>
            <w:vAlign w:val="center"/>
          </w:tcPr>
          <w:p>
            <w:pPr>
              <w:pStyle w:val="13"/>
            </w:pPr>
            <w:r>
              <w:t>71.25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11.79</w:t>
            </w:r>
          </w:p>
        </w:tc>
        <w:tc>
          <w:tcPr>
            <w:tcW w:w="1134" w:type="dxa"/>
            <w:vAlign w:val="center"/>
          </w:tcPr>
          <w:p>
            <w:pPr>
              <w:pStyle w:val="13"/>
            </w:pPr>
            <w:r>
              <w:t>11.79</w:t>
            </w:r>
          </w:p>
        </w:tc>
        <w:tc>
          <w:tcPr>
            <w:tcW w:w="1134" w:type="dxa"/>
            <w:vAlign w:val="center"/>
          </w:tcPr>
          <w:p>
            <w:pPr>
              <w:pStyle w:val="13"/>
            </w:pPr>
            <w:r>
              <w:t>11.79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53.44</w:t>
            </w:r>
          </w:p>
        </w:tc>
        <w:tc>
          <w:tcPr>
            <w:tcW w:w="1134" w:type="dxa"/>
            <w:vAlign w:val="center"/>
          </w:tcPr>
          <w:p>
            <w:pPr>
              <w:pStyle w:val="13"/>
            </w:pPr>
            <w:r>
              <w:t>53.44</w:t>
            </w:r>
          </w:p>
        </w:tc>
        <w:tc>
          <w:tcPr>
            <w:tcW w:w="1134" w:type="dxa"/>
            <w:vAlign w:val="center"/>
          </w:tcPr>
          <w:p>
            <w:pPr>
              <w:pStyle w:val="13"/>
            </w:pPr>
            <w:r>
              <w:t>53.44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53.44</w:t>
            </w:r>
          </w:p>
        </w:tc>
        <w:tc>
          <w:tcPr>
            <w:tcW w:w="1134" w:type="dxa"/>
            <w:vAlign w:val="center"/>
          </w:tcPr>
          <w:p>
            <w:pPr>
              <w:pStyle w:val="13"/>
            </w:pPr>
            <w:r>
              <w:t>53.44</w:t>
            </w:r>
          </w:p>
        </w:tc>
        <w:tc>
          <w:tcPr>
            <w:tcW w:w="1134" w:type="dxa"/>
            <w:vAlign w:val="center"/>
          </w:tcPr>
          <w:p>
            <w:pPr>
              <w:pStyle w:val="13"/>
            </w:pPr>
            <w:r>
              <w:t>53.44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53.44</w:t>
            </w:r>
          </w:p>
        </w:tc>
        <w:tc>
          <w:tcPr>
            <w:tcW w:w="1134" w:type="dxa"/>
            <w:vAlign w:val="center"/>
          </w:tcPr>
          <w:p>
            <w:pPr>
              <w:pStyle w:val="13"/>
            </w:pPr>
            <w:r>
              <w:t>53.44</w:t>
            </w:r>
          </w:p>
        </w:tc>
        <w:tc>
          <w:tcPr>
            <w:tcW w:w="1134" w:type="dxa"/>
            <w:vAlign w:val="center"/>
          </w:tcPr>
          <w:p>
            <w:pPr>
              <w:pStyle w:val="13"/>
            </w:pPr>
            <w:r>
              <w:t>53.44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1764.15</w:t>
            </w:r>
          </w:p>
        </w:tc>
        <w:tc>
          <w:tcPr>
            <w:tcW w:w="1134" w:type="dxa"/>
            <w:vAlign w:val="center"/>
          </w:tcPr>
          <w:p>
            <w:pPr>
              <w:pStyle w:val="13"/>
            </w:pPr>
            <w:r>
              <w:t>1722.73</w:t>
            </w:r>
          </w:p>
        </w:tc>
        <w:tc>
          <w:tcPr>
            <w:tcW w:w="1134" w:type="dxa"/>
            <w:vAlign w:val="center"/>
          </w:tcPr>
          <w:p>
            <w:pPr>
              <w:pStyle w:val="13"/>
            </w:pPr>
            <w:r>
              <w:t>1722.73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1640.63</w:t>
            </w:r>
          </w:p>
        </w:tc>
        <w:tc>
          <w:tcPr>
            <w:tcW w:w="1134" w:type="dxa"/>
            <w:vAlign w:val="center"/>
          </w:tcPr>
          <w:p>
            <w:pPr>
              <w:pStyle w:val="13"/>
            </w:pPr>
            <w:r>
              <w:t>1599.21</w:t>
            </w:r>
          </w:p>
        </w:tc>
        <w:tc>
          <w:tcPr>
            <w:tcW w:w="1134" w:type="dxa"/>
            <w:vAlign w:val="center"/>
          </w:tcPr>
          <w:p>
            <w:pPr>
              <w:pStyle w:val="13"/>
            </w:pPr>
            <w:r>
              <w:t>1599.21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2240101</w:t>
            </w:r>
          </w:p>
        </w:tc>
        <w:tc>
          <w:tcPr>
            <w:tcW w:w="1559" w:type="dxa"/>
            <w:vAlign w:val="center"/>
          </w:tcPr>
          <w:p>
            <w:pPr>
              <w:pStyle w:val="14"/>
            </w:pPr>
            <w:r>
              <w:t>行政运行</w:t>
            </w:r>
          </w:p>
        </w:tc>
        <w:tc>
          <w:tcPr>
            <w:tcW w:w="1134" w:type="dxa"/>
            <w:vAlign w:val="center"/>
          </w:tcPr>
          <w:p>
            <w:pPr>
              <w:pStyle w:val="13"/>
            </w:pPr>
            <w:r>
              <w:t>916.94</w:t>
            </w:r>
          </w:p>
        </w:tc>
        <w:tc>
          <w:tcPr>
            <w:tcW w:w="1134" w:type="dxa"/>
            <w:vAlign w:val="center"/>
          </w:tcPr>
          <w:p>
            <w:pPr>
              <w:pStyle w:val="13"/>
            </w:pPr>
            <w:r>
              <w:t>916.94</w:t>
            </w:r>
          </w:p>
        </w:tc>
        <w:tc>
          <w:tcPr>
            <w:tcW w:w="1134" w:type="dxa"/>
            <w:vAlign w:val="center"/>
          </w:tcPr>
          <w:p>
            <w:pPr>
              <w:pStyle w:val="13"/>
            </w:pPr>
            <w:r>
              <w:t>916.94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370.00</w:t>
            </w:r>
          </w:p>
        </w:tc>
        <w:tc>
          <w:tcPr>
            <w:tcW w:w="1134" w:type="dxa"/>
            <w:vAlign w:val="center"/>
          </w:tcPr>
          <w:p>
            <w:pPr>
              <w:pStyle w:val="13"/>
            </w:pPr>
            <w:r>
              <w:t>330.00</w:t>
            </w:r>
          </w:p>
        </w:tc>
        <w:tc>
          <w:tcPr>
            <w:tcW w:w="1134" w:type="dxa"/>
            <w:vAlign w:val="center"/>
          </w:tcPr>
          <w:p>
            <w:pPr>
              <w:pStyle w:val="13"/>
            </w:pPr>
            <w:r>
              <w:t>330.00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317.27</w:t>
            </w:r>
          </w:p>
        </w:tc>
        <w:tc>
          <w:tcPr>
            <w:tcW w:w="1134" w:type="dxa"/>
            <w:vAlign w:val="center"/>
          </w:tcPr>
          <w:p>
            <w:pPr>
              <w:pStyle w:val="13"/>
            </w:pPr>
            <w:r>
              <w:t>317.27</w:t>
            </w:r>
          </w:p>
        </w:tc>
        <w:tc>
          <w:tcPr>
            <w:tcW w:w="1134" w:type="dxa"/>
            <w:vAlign w:val="center"/>
          </w:tcPr>
          <w:p>
            <w:pPr>
              <w:pStyle w:val="13"/>
            </w:pPr>
            <w:r>
              <w:t>317.27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2240108</w:t>
            </w:r>
          </w:p>
        </w:tc>
        <w:tc>
          <w:tcPr>
            <w:tcW w:w="1559" w:type="dxa"/>
            <w:vAlign w:val="center"/>
          </w:tcPr>
          <w:p>
            <w:pPr>
              <w:pStyle w:val="14"/>
            </w:pPr>
            <w:r>
              <w:t>应急救援</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2240109</w:t>
            </w:r>
          </w:p>
        </w:tc>
        <w:tc>
          <w:tcPr>
            <w:tcW w:w="1559" w:type="dxa"/>
            <w:vAlign w:val="center"/>
          </w:tcPr>
          <w:p>
            <w:pPr>
              <w:pStyle w:val="14"/>
            </w:pPr>
            <w:r>
              <w:t>应急管理</w:t>
            </w:r>
          </w:p>
        </w:tc>
        <w:tc>
          <w:tcPr>
            <w:tcW w:w="1134" w:type="dxa"/>
            <w:vAlign w:val="center"/>
          </w:tcPr>
          <w:p>
            <w:pPr>
              <w:pStyle w:val="13"/>
            </w:pPr>
            <w:r>
              <w:t>26.42</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22407</w:t>
            </w:r>
          </w:p>
        </w:tc>
        <w:tc>
          <w:tcPr>
            <w:tcW w:w="1559" w:type="dxa"/>
            <w:vAlign w:val="center"/>
          </w:tcPr>
          <w:p>
            <w:pPr>
              <w:pStyle w:val="14"/>
            </w:pPr>
            <w:r>
              <w:t>自然灾害救灾及恢复重建支出</w:t>
            </w:r>
          </w:p>
        </w:tc>
        <w:tc>
          <w:tcPr>
            <w:tcW w:w="1134" w:type="dxa"/>
            <w:vAlign w:val="center"/>
          </w:tcPr>
          <w:p>
            <w:pPr>
              <w:pStyle w:val="13"/>
            </w:pPr>
            <w:r>
              <w:t>123.52</w:t>
            </w:r>
          </w:p>
        </w:tc>
        <w:tc>
          <w:tcPr>
            <w:tcW w:w="1134" w:type="dxa"/>
            <w:vAlign w:val="center"/>
          </w:tcPr>
          <w:p>
            <w:pPr>
              <w:pStyle w:val="13"/>
            </w:pPr>
            <w:r>
              <w:t>123.52</w:t>
            </w:r>
          </w:p>
        </w:tc>
        <w:tc>
          <w:tcPr>
            <w:tcW w:w="1134" w:type="dxa"/>
            <w:vAlign w:val="center"/>
          </w:tcPr>
          <w:p>
            <w:pPr>
              <w:pStyle w:val="13"/>
            </w:pPr>
            <w:r>
              <w:t>123.52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2240703</w:t>
            </w:r>
          </w:p>
        </w:tc>
        <w:tc>
          <w:tcPr>
            <w:tcW w:w="1559" w:type="dxa"/>
            <w:vAlign w:val="center"/>
          </w:tcPr>
          <w:p>
            <w:pPr>
              <w:pStyle w:val="14"/>
            </w:pPr>
            <w:r>
              <w:t>自然灾害救灾补助</w:t>
            </w:r>
          </w:p>
        </w:tc>
        <w:tc>
          <w:tcPr>
            <w:tcW w:w="1134" w:type="dxa"/>
            <w:vAlign w:val="center"/>
          </w:tcPr>
          <w:p>
            <w:pPr>
              <w:pStyle w:val="13"/>
            </w:pPr>
            <w:r>
              <w:t>123.52</w:t>
            </w:r>
          </w:p>
        </w:tc>
        <w:tc>
          <w:tcPr>
            <w:tcW w:w="1134" w:type="dxa"/>
            <w:vAlign w:val="center"/>
          </w:tcPr>
          <w:p>
            <w:pPr>
              <w:pStyle w:val="13"/>
            </w:pPr>
            <w:r>
              <w:t>123.52</w:t>
            </w:r>
          </w:p>
        </w:tc>
        <w:tc>
          <w:tcPr>
            <w:tcW w:w="1134" w:type="dxa"/>
            <w:vAlign w:val="center"/>
          </w:tcPr>
          <w:p>
            <w:pPr>
              <w:pStyle w:val="13"/>
            </w:pPr>
            <w:r>
              <w:t>123.52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904霸州市应急管理局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1947.69</w:t>
            </w:r>
          </w:p>
        </w:tc>
        <w:tc>
          <w:tcPr>
            <w:tcW w:w="1361" w:type="dxa"/>
            <w:vAlign w:val="center"/>
          </w:tcPr>
          <w:p>
            <w:pPr>
              <w:pStyle w:val="17"/>
            </w:pPr>
            <w:r>
              <w:t>1100.48</w:t>
            </w:r>
          </w:p>
        </w:tc>
        <w:tc>
          <w:tcPr>
            <w:tcW w:w="1361" w:type="dxa"/>
            <w:vAlign w:val="center"/>
          </w:tcPr>
          <w:p>
            <w:pPr>
              <w:pStyle w:val="17"/>
            </w:pPr>
            <w:r>
              <w:t>847.21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102.10</w:t>
            </w:r>
          </w:p>
        </w:tc>
        <w:tc>
          <w:tcPr>
            <w:tcW w:w="1361" w:type="dxa"/>
            <w:vAlign w:val="center"/>
          </w:tcPr>
          <w:p>
            <w:pPr>
              <w:pStyle w:val="13"/>
            </w:pPr>
            <w:r>
              <w:t>102.10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102.10</w:t>
            </w:r>
          </w:p>
        </w:tc>
        <w:tc>
          <w:tcPr>
            <w:tcW w:w="1361" w:type="dxa"/>
            <w:vAlign w:val="center"/>
          </w:tcPr>
          <w:p>
            <w:pPr>
              <w:pStyle w:val="13"/>
            </w:pPr>
            <w:r>
              <w:t>102.10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19.06</w:t>
            </w:r>
          </w:p>
        </w:tc>
        <w:tc>
          <w:tcPr>
            <w:tcW w:w="1361" w:type="dxa"/>
            <w:vAlign w:val="center"/>
          </w:tcPr>
          <w:p>
            <w:pPr>
              <w:pStyle w:val="13"/>
            </w:pPr>
            <w:r>
              <w:t>19.06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71.25</w:t>
            </w:r>
          </w:p>
        </w:tc>
        <w:tc>
          <w:tcPr>
            <w:tcW w:w="1361" w:type="dxa"/>
            <w:vAlign w:val="center"/>
          </w:tcPr>
          <w:p>
            <w:pPr>
              <w:pStyle w:val="13"/>
            </w:pPr>
            <w:r>
              <w:t>71.25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11.79</w:t>
            </w:r>
          </w:p>
        </w:tc>
        <w:tc>
          <w:tcPr>
            <w:tcW w:w="1361" w:type="dxa"/>
            <w:vAlign w:val="center"/>
          </w:tcPr>
          <w:p>
            <w:pPr>
              <w:pStyle w:val="13"/>
            </w:pPr>
            <w:r>
              <w:t>11.79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28.00</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28.00</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28.00</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53.44</w:t>
            </w:r>
          </w:p>
        </w:tc>
        <w:tc>
          <w:tcPr>
            <w:tcW w:w="1361" w:type="dxa"/>
            <w:vAlign w:val="center"/>
          </w:tcPr>
          <w:p>
            <w:pPr>
              <w:pStyle w:val="13"/>
            </w:pPr>
            <w:r>
              <w:t>53.44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53.44</w:t>
            </w:r>
          </w:p>
        </w:tc>
        <w:tc>
          <w:tcPr>
            <w:tcW w:w="1361" w:type="dxa"/>
            <w:vAlign w:val="center"/>
          </w:tcPr>
          <w:p>
            <w:pPr>
              <w:pStyle w:val="13"/>
            </w:pPr>
            <w:r>
              <w:t>53.44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53.44</w:t>
            </w:r>
          </w:p>
        </w:tc>
        <w:tc>
          <w:tcPr>
            <w:tcW w:w="1361" w:type="dxa"/>
            <w:vAlign w:val="center"/>
          </w:tcPr>
          <w:p>
            <w:pPr>
              <w:pStyle w:val="13"/>
            </w:pPr>
            <w:r>
              <w:t>53.44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1764.15</w:t>
            </w:r>
          </w:p>
        </w:tc>
        <w:tc>
          <w:tcPr>
            <w:tcW w:w="1361" w:type="dxa"/>
            <w:vAlign w:val="center"/>
          </w:tcPr>
          <w:p>
            <w:pPr>
              <w:pStyle w:val="13"/>
            </w:pPr>
            <w:r>
              <w:t>916.94</w:t>
            </w:r>
          </w:p>
        </w:tc>
        <w:tc>
          <w:tcPr>
            <w:tcW w:w="1361" w:type="dxa"/>
            <w:vAlign w:val="center"/>
          </w:tcPr>
          <w:p>
            <w:pPr>
              <w:pStyle w:val="13"/>
            </w:pPr>
            <w:r>
              <w:t>847.21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1640.63</w:t>
            </w:r>
          </w:p>
        </w:tc>
        <w:tc>
          <w:tcPr>
            <w:tcW w:w="1361" w:type="dxa"/>
            <w:vAlign w:val="center"/>
          </w:tcPr>
          <w:p>
            <w:pPr>
              <w:pStyle w:val="13"/>
            </w:pPr>
            <w:r>
              <w:t>916.94</w:t>
            </w:r>
          </w:p>
        </w:tc>
        <w:tc>
          <w:tcPr>
            <w:tcW w:w="1361" w:type="dxa"/>
            <w:vAlign w:val="center"/>
          </w:tcPr>
          <w:p>
            <w:pPr>
              <w:pStyle w:val="13"/>
            </w:pPr>
            <w:r>
              <w:t>723.69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2240101</w:t>
            </w:r>
          </w:p>
        </w:tc>
        <w:tc>
          <w:tcPr>
            <w:tcW w:w="4535" w:type="dxa"/>
            <w:vAlign w:val="center"/>
          </w:tcPr>
          <w:p>
            <w:pPr>
              <w:pStyle w:val="14"/>
            </w:pPr>
            <w:r>
              <w:t>行政运行</w:t>
            </w:r>
          </w:p>
        </w:tc>
        <w:tc>
          <w:tcPr>
            <w:tcW w:w="1361" w:type="dxa"/>
            <w:vAlign w:val="center"/>
          </w:tcPr>
          <w:p>
            <w:pPr>
              <w:pStyle w:val="13"/>
            </w:pPr>
            <w:r>
              <w:t>916.94</w:t>
            </w:r>
          </w:p>
        </w:tc>
        <w:tc>
          <w:tcPr>
            <w:tcW w:w="1361" w:type="dxa"/>
            <w:vAlign w:val="center"/>
          </w:tcPr>
          <w:p>
            <w:pPr>
              <w:pStyle w:val="13"/>
            </w:pPr>
            <w:r>
              <w:t>916.94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370.00</w:t>
            </w:r>
          </w:p>
        </w:tc>
        <w:tc>
          <w:tcPr>
            <w:tcW w:w="1361" w:type="dxa"/>
            <w:vAlign w:val="center"/>
          </w:tcPr>
          <w:p>
            <w:pPr>
              <w:pStyle w:val="13"/>
            </w:pPr>
          </w:p>
        </w:tc>
        <w:tc>
          <w:tcPr>
            <w:tcW w:w="1361" w:type="dxa"/>
            <w:vAlign w:val="center"/>
          </w:tcPr>
          <w:p>
            <w:pPr>
              <w:pStyle w:val="13"/>
            </w:pPr>
            <w:r>
              <w:t>370.00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2240106</w:t>
            </w:r>
          </w:p>
        </w:tc>
        <w:tc>
          <w:tcPr>
            <w:tcW w:w="4535" w:type="dxa"/>
            <w:vAlign w:val="center"/>
          </w:tcPr>
          <w:p>
            <w:pPr>
              <w:pStyle w:val="14"/>
            </w:pPr>
            <w:r>
              <w:t>安全监管</w:t>
            </w:r>
          </w:p>
        </w:tc>
        <w:tc>
          <w:tcPr>
            <w:tcW w:w="1361" w:type="dxa"/>
            <w:vAlign w:val="center"/>
          </w:tcPr>
          <w:p>
            <w:pPr>
              <w:pStyle w:val="13"/>
            </w:pPr>
            <w:r>
              <w:t>317.27</w:t>
            </w:r>
          </w:p>
        </w:tc>
        <w:tc>
          <w:tcPr>
            <w:tcW w:w="1361" w:type="dxa"/>
            <w:vAlign w:val="center"/>
          </w:tcPr>
          <w:p>
            <w:pPr>
              <w:pStyle w:val="13"/>
            </w:pPr>
          </w:p>
        </w:tc>
        <w:tc>
          <w:tcPr>
            <w:tcW w:w="1361" w:type="dxa"/>
            <w:vAlign w:val="center"/>
          </w:tcPr>
          <w:p>
            <w:pPr>
              <w:pStyle w:val="13"/>
            </w:pPr>
            <w:r>
              <w:t>317.27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2240108</w:t>
            </w:r>
          </w:p>
        </w:tc>
        <w:tc>
          <w:tcPr>
            <w:tcW w:w="4535" w:type="dxa"/>
            <w:vAlign w:val="center"/>
          </w:tcPr>
          <w:p>
            <w:pPr>
              <w:pStyle w:val="14"/>
            </w:pPr>
            <w:r>
              <w:t>应急救援</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2240109</w:t>
            </w:r>
          </w:p>
        </w:tc>
        <w:tc>
          <w:tcPr>
            <w:tcW w:w="4535" w:type="dxa"/>
            <w:vAlign w:val="center"/>
          </w:tcPr>
          <w:p>
            <w:pPr>
              <w:pStyle w:val="14"/>
            </w:pPr>
            <w:r>
              <w:t>应急管理</w:t>
            </w:r>
          </w:p>
        </w:tc>
        <w:tc>
          <w:tcPr>
            <w:tcW w:w="1361" w:type="dxa"/>
            <w:vAlign w:val="center"/>
          </w:tcPr>
          <w:p>
            <w:pPr>
              <w:pStyle w:val="13"/>
            </w:pPr>
            <w:r>
              <w:t>26.42</w:t>
            </w:r>
          </w:p>
        </w:tc>
        <w:tc>
          <w:tcPr>
            <w:tcW w:w="1361" w:type="dxa"/>
            <w:vAlign w:val="center"/>
          </w:tcPr>
          <w:p>
            <w:pPr>
              <w:pStyle w:val="13"/>
            </w:pPr>
          </w:p>
        </w:tc>
        <w:tc>
          <w:tcPr>
            <w:tcW w:w="1361" w:type="dxa"/>
            <w:vAlign w:val="center"/>
          </w:tcPr>
          <w:p>
            <w:pPr>
              <w:pStyle w:val="13"/>
            </w:pPr>
            <w:r>
              <w:t>26.42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22407</w:t>
            </w:r>
          </w:p>
        </w:tc>
        <w:tc>
          <w:tcPr>
            <w:tcW w:w="4535" w:type="dxa"/>
            <w:vAlign w:val="center"/>
          </w:tcPr>
          <w:p>
            <w:pPr>
              <w:pStyle w:val="14"/>
            </w:pPr>
            <w:r>
              <w:t>自然灾害救灾及恢复重建支出</w:t>
            </w:r>
          </w:p>
        </w:tc>
        <w:tc>
          <w:tcPr>
            <w:tcW w:w="1361" w:type="dxa"/>
            <w:vAlign w:val="center"/>
          </w:tcPr>
          <w:p>
            <w:pPr>
              <w:pStyle w:val="13"/>
            </w:pPr>
            <w:r>
              <w:t>123.52</w:t>
            </w:r>
          </w:p>
        </w:tc>
        <w:tc>
          <w:tcPr>
            <w:tcW w:w="1361" w:type="dxa"/>
            <w:vAlign w:val="center"/>
          </w:tcPr>
          <w:p>
            <w:pPr>
              <w:pStyle w:val="13"/>
            </w:pPr>
          </w:p>
        </w:tc>
        <w:tc>
          <w:tcPr>
            <w:tcW w:w="1361" w:type="dxa"/>
            <w:vAlign w:val="center"/>
          </w:tcPr>
          <w:p>
            <w:pPr>
              <w:pStyle w:val="13"/>
            </w:pPr>
            <w:r>
              <w:t>123.52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2240703</w:t>
            </w:r>
          </w:p>
        </w:tc>
        <w:tc>
          <w:tcPr>
            <w:tcW w:w="4535" w:type="dxa"/>
            <w:vAlign w:val="center"/>
          </w:tcPr>
          <w:p>
            <w:pPr>
              <w:pStyle w:val="14"/>
            </w:pPr>
            <w:r>
              <w:t>自然灾害救灾补助</w:t>
            </w:r>
          </w:p>
        </w:tc>
        <w:tc>
          <w:tcPr>
            <w:tcW w:w="1361" w:type="dxa"/>
            <w:vAlign w:val="center"/>
          </w:tcPr>
          <w:p>
            <w:pPr>
              <w:pStyle w:val="13"/>
            </w:pPr>
            <w:r>
              <w:t>123.52</w:t>
            </w:r>
          </w:p>
        </w:tc>
        <w:tc>
          <w:tcPr>
            <w:tcW w:w="1361" w:type="dxa"/>
            <w:vAlign w:val="center"/>
          </w:tcPr>
          <w:p>
            <w:pPr>
              <w:pStyle w:val="13"/>
            </w:pPr>
          </w:p>
        </w:tc>
        <w:tc>
          <w:tcPr>
            <w:tcW w:w="1361" w:type="dxa"/>
            <w:vAlign w:val="center"/>
          </w:tcPr>
          <w:p>
            <w:pPr>
              <w:pStyle w:val="13"/>
            </w:pPr>
            <w:r>
              <w:t>123.52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904霸州市应急管理局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1906.27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102.10</w:t>
            </w:r>
          </w:p>
        </w:tc>
        <w:tc>
          <w:tcPr>
            <w:tcW w:w="1474" w:type="dxa"/>
            <w:vAlign w:val="center"/>
          </w:tcPr>
          <w:p>
            <w:pPr>
              <w:pStyle w:val="13"/>
            </w:pPr>
            <w:r>
              <w:t>102.10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28.00</w:t>
            </w:r>
          </w:p>
        </w:tc>
        <w:tc>
          <w:tcPr>
            <w:tcW w:w="1474" w:type="dxa"/>
            <w:vAlign w:val="center"/>
          </w:tcPr>
          <w:p>
            <w:pPr>
              <w:pStyle w:val="13"/>
            </w:pPr>
            <w:r>
              <w:t>28.00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53.44</w:t>
            </w:r>
          </w:p>
        </w:tc>
        <w:tc>
          <w:tcPr>
            <w:tcW w:w="1474" w:type="dxa"/>
            <w:vAlign w:val="center"/>
          </w:tcPr>
          <w:p>
            <w:pPr>
              <w:pStyle w:val="13"/>
            </w:pPr>
            <w:r>
              <w:t>53.44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1764.15</w:t>
            </w:r>
          </w:p>
        </w:tc>
        <w:tc>
          <w:tcPr>
            <w:tcW w:w="1474" w:type="dxa"/>
            <w:vAlign w:val="center"/>
          </w:tcPr>
          <w:p>
            <w:pPr>
              <w:pStyle w:val="13"/>
            </w:pPr>
            <w:r>
              <w:t>1764.15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1906.27</w:t>
            </w:r>
          </w:p>
        </w:tc>
        <w:tc>
          <w:tcPr>
            <w:tcW w:w="3402" w:type="dxa"/>
            <w:vAlign w:val="center"/>
          </w:tcPr>
          <w:p>
            <w:pPr>
              <w:pStyle w:val="16"/>
            </w:pPr>
            <w:r>
              <w:t>本年支出合计</w:t>
            </w:r>
          </w:p>
        </w:tc>
        <w:tc>
          <w:tcPr>
            <w:tcW w:w="1474" w:type="dxa"/>
            <w:vAlign w:val="center"/>
          </w:tcPr>
          <w:p>
            <w:pPr>
              <w:pStyle w:val="17"/>
            </w:pPr>
            <w:r>
              <w:t>1947.69</w:t>
            </w:r>
          </w:p>
        </w:tc>
        <w:tc>
          <w:tcPr>
            <w:tcW w:w="1474" w:type="dxa"/>
            <w:vAlign w:val="center"/>
          </w:tcPr>
          <w:p>
            <w:pPr>
              <w:pStyle w:val="17"/>
            </w:pPr>
            <w:r>
              <w:t>1947.69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41.42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41.42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1947.69</w:t>
            </w:r>
          </w:p>
        </w:tc>
        <w:tc>
          <w:tcPr>
            <w:tcW w:w="3402" w:type="dxa"/>
            <w:vAlign w:val="center"/>
          </w:tcPr>
          <w:p>
            <w:pPr>
              <w:pStyle w:val="16"/>
            </w:pPr>
            <w:r>
              <w:t>支出总计</w:t>
            </w:r>
          </w:p>
        </w:tc>
        <w:tc>
          <w:tcPr>
            <w:tcW w:w="1474" w:type="dxa"/>
            <w:vAlign w:val="center"/>
          </w:tcPr>
          <w:p>
            <w:pPr>
              <w:pStyle w:val="17"/>
            </w:pPr>
            <w:r>
              <w:t>1947.69</w:t>
            </w:r>
          </w:p>
        </w:tc>
        <w:tc>
          <w:tcPr>
            <w:tcW w:w="1474" w:type="dxa"/>
            <w:vAlign w:val="center"/>
          </w:tcPr>
          <w:p>
            <w:pPr>
              <w:pStyle w:val="17"/>
            </w:pPr>
            <w:r>
              <w:t>1947.69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904霸州市应急管理局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1947.69</w:t>
            </w:r>
          </w:p>
        </w:tc>
        <w:tc>
          <w:tcPr>
            <w:tcW w:w="2551" w:type="dxa"/>
            <w:vAlign w:val="center"/>
          </w:tcPr>
          <w:p>
            <w:pPr>
              <w:pStyle w:val="17"/>
            </w:pPr>
            <w:r>
              <w:t>1100.48</w:t>
            </w:r>
          </w:p>
        </w:tc>
        <w:tc>
          <w:tcPr>
            <w:tcW w:w="2551" w:type="dxa"/>
            <w:vAlign w:val="center"/>
          </w:tcPr>
          <w:p>
            <w:pPr>
              <w:pStyle w:val="17"/>
            </w:pPr>
            <w:r>
              <w:t>847.21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102.10</w:t>
            </w:r>
          </w:p>
        </w:tc>
        <w:tc>
          <w:tcPr>
            <w:tcW w:w="2551" w:type="dxa"/>
            <w:vAlign w:val="center"/>
          </w:tcPr>
          <w:p>
            <w:pPr>
              <w:pStyle w:val="13"/>
            </w:pPr>
            <w:r>
              <w:t>102.10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102.10</w:t>
            </w:r>
          </w:p>
        </w:tc>
        <w:tc>
          <w:tcPr>
            <w:tcW w:w="2551" w:type="dxa"/>
            <w:vAlign w:val="center"/>
          </w:tcPr>
          <w:p>
            <w:pPr>
              <w:pStyle w:val="13"/>
            </w:pPr>
            <w:r>
              <w:t>102.10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19.06</w:t>
            </w:r>
          </w:p>
        </w:tc>
        <w:tc>
          <w:tcPr>
            <w:tcW w:w="2551" w:type="dxa"/>
            <w:vAlign w:val="center"/>
          </w:tcPr>
          <w:p>
            <w:pPr>
              <w:pStyle w:val="13"/>
            </w:pPr>
            <w:r>
              <w:t>19.06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71.25</w:t>
            </w:r>
          </w:p>
        </w:tc>
        <w:tc>
          <w:tcPr>
            <w:tcW w:w="2551" w:type="dxa"/>
            <w:vAlign w:val="center"/>
          </w:tcPr>
          <w:p>
            <w:pPr>
              <w:pStyle w:val="13"/>
            </w:pPr>
            <w:r>
              <w:t>71.25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11.79</w:t>
            </w:r>
          </w:p>
        </w:tc>
        <w:tc>
          <w:tcPr>
            <w:tcW w:w="2551" w:type="dxa"/>
            <w:vAlign w:val="center"/>
          </w:tcPr>
          <w:p>
            <w:pPr>
              <w:pStyle w:val="13"/>
            </w:pPr>
            <w:r>
              <w:t>11.79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53.44</w:t>
            </w:r>
          </w:p>
        </w:tc>
        <w:tc>
          <w:tcPr>
            <w:tcW w:w="2551" w:type="dxa"/>
            <w:vAlign w:val="center"/>
          </w:tcPr>
          <w:p>
            <w:pPr>
              <w:pStyle w:val="13"/>
            </w:pPr>
            <w:r>
              <w:t>53.44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53.44</w:t>
            </w:r>
          </w:p>
        </w:tc>
        <w:tc>
          <w:tcPr>
            <w:tcW w:w="2551" w:type="dxa"/>
            <w:vAlign w:val="center"/>
          </w:tcPr>
          <w:p>
            <w:pPr>
              <w:pStyle w:val="13"/>
            </w:pPr>
            <w:r>
              <w:t>53.44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53.44</w:t>
            </w:r>
          </w:p>
        </w:tc>
        <w:tc>
          <w:tcPr>
            <w:tcW w:w="2551" w:type="dxa"/>
            <w:vAlign w:val="center"/>
          </w:tcPr>
          <w:p>
            <w:pPr>
              <w:pStyle w:val="13"/>
            </w:pPr>
            <w:r>
              <w:t>53.44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1764.15</w:t>
            </w:r>
          </w:p>
        </w:tc>
        <w:tc>
          <w:tcPr>
            <w:tcW w:w="2551" w:type="dxa"/>
            <w:vAlign w:val="center"/>
          </w:tcPr>
          <w:p>
            <w:pPr>
              <w:pStyle w:val="13"/>
            </w:pPr>
            <w:r>
              <w:t>916.94</w:t>
            </w:r>
          </w:p>
        </w:tc>
        <w:tc>
          <w:tcPr>
            <w:tcW w:w="2551" w:type="dxa"/>
            <w:vAlign w:val="center"/>
          </w:tcPr>
          <w:p>
            <w:pPr>
              <w:pStyle w:val="13"/>
            </w:pPr>
            <w:r>
              <w:t>847.21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1640.63</w:t>
            </w:r>
          </w:p>
        </w:tc>
        <w:tc>
          <w:tcPr>
            <w:tcW w:w="2551" w:type="dxa"/>
            <w:vAlign w:val="center"/>
          </w:tcPr>
          <w:p>
            <w:pPr>
              <w:pStyle w:val="13"/>
            </w:pPr>
            <w:r>
              <w:t>916.94</w:t>
            </w:r>
          </w:p>
        </w:tc>
        <w:tc>
          <w:tcPr>
            <w:tcW w:w="2551" w:type="dxa"/>
            <w:vAlign w:val="center"/>
          </w:tcPr>
          <w:p>
            <w:pPr>
              <w:pStyle w:val="13"/>
            </w:pPr>
            <w:r>
              <w:t>723.69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2240101</w:t>
            </w:r>
          </w:p>
        </w:tc>
        <w:tc>
          <w:tcPr>
            <w:tcW w:w="4535" w:type="dxa"/>
            <w:vAlign w:val="center"/>
          </w:tcPr>
          <w:p>
            <w:pPr>
              <w:pStyle w:val="14"/>
            </w:pPr>
            <w:r>
              <w:t>行政运行</w:t>
            </w:r>
          </w:p>
        </w:tc>
        <w:tc>
          <w:tcPr>
            <w:tcW w:w="2551" w:type="dxa"/>
            <w:vAlign w:val="center"/>
          </w:tcPr>
          <w:p>
            <w:pPr>
              <w:pStyle w:val="13"/>
            </w:pPr>
            <w:r>
              <w:t>916.94</w:t>
            </w:r>
          </w:p>
        </w:tc>
        <w:tc>
          <w:tcPr>
            <w:tcW w:w="2551" w:type="dxa"/>
            <w:vAlign w:val="center"/>
          </w:tcPr>
          <w:p>
            <w:pPr>
              <w:pStyle w:val="13"/>
            </w:pPr>
            <w:r>
              <w:t>916.94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370.00</w:t>
            </w:r>
          </w:p>
        </w:tc>
        <w:tc>
          <w:tcPr>
            <w:tcW w:w="2551" w:type="dxa"/>
            <w:vAlign w:val="center"/>
          </w:tcPr>
          <w:p>
            <w:pPr>
              <w:pStyle w:val="13"/>
            </w:pPr>
          </w:p>
        </w:tc>
        <w:tc>
          <w:tcPr>
            <w:tcW w:w="2551"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2240106</w:t>
            </w:r>
          </w:p>
        </w:tc>
        <w:tc>
          <w:tcPr>
            <w:tcW w:w="4535" w:type="dxa"/>
            <w:vAlign w:val="center"/>
          </w:tcPr>
          <w:p>
            <w:pPr>
              <w:pStyle w:val="14"/>
            </w:pPr>
            <w:r>
              <w:t>安全监管</w:t>
            </w:r>
          </w:p>
        </w:tc>
        <w:tc>
          <w:tcPr>
            <w:tcW w:w="2551" w:type="dxa"/>
            <w:vAlign w:val="center"/>
          </w:tcPr>
          <w:p>
            <w:pPr>
              <w:pStyle w:val="13"/>
            </w:pPr>
            <w:r>
              <w:t>317.27</w:t>
            </w:r>
          </w:p>
        </w:tc>
        <w:tc>
          <w:tcPr>
            <w:tcW w:w="2551" w:type="dxa"/>
            <w:vAlign w:val="center"/>
          </w:tcPr>
          <w:p>
            <w:pPr>
              <w:pStyle w:val="13"/>
            </w:pPr>
          </w:p>
        </w:tc>
        <w:tc>
          <w:tcPr>
            <w:tcW w:w="2551" w:type="dxa"/>
            <w:vAlign w:val="center"/>
          </w:tcPr>
          <w:p>
            <w:pPr>
              <w:pStyle w:val="13"/>
            </w:pPr>
            <w:r>
              <w:t>317.27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2240108</w:t>
            </w:r>
          </w:p>
        </w:tc>
        <w:tc>
          <w:tcPr>
            <w:tcW w:w="4535" w:type="dxa"/>
            <w:vAlign w:val="center"/>
          </w:tcPr>
          <w:p>
            <w:pPr>
              <w:pStyle w:val="14"/>
            </w:pPr>
            <w:r>
              <w:t>应急救援</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2240109</w:t>
            </w:r>
          </w:p>
        </w:tc>
        <w:tc>
          <w:tcPr>
            <w:tcW w:w="4535" w:type="dxa"/>
            <w:vAlign w:val="center"/>
          </w:tcPr>
          <w:p>
            <w:pPr>
              <w:pStyle w:val="14"/>
            </w:pPr>
            <w:r>
              <w:t>应急管理</w:t>
            </w:r>
          </w:p>
        </w:tc>
        <w:tc>
          <w:tcPr>
            <w:tcW w:w="2551" w:type="dxa"/>
            <w:vAlign w:val="center"/>
          </w:tcPr>
          <w:p>
            <w:pPr>
              <w:pStyle w:val="13"/>
            </w:pPr>
            <w:r>
              <w:t>26.42</w:t>
            </w:r>
          </w:p>
        </w:tc>
        <w:tc>
          <w:tcPr>
            <w:tcW w:w="2551" w:type="dxa"/>
            <w:vAlign w:val="center"/>
          </w:tcPr>
          <w:p>
            <w:pPr>
              <w:pStyle w:val="13"/>
            </w:pPr>
          </w:p>
        </w:tc>
        <w:tc>
          <w:tcPr>
            <w:tcW w:w="2551" w:type="dxa"/>
            <w:vAlign w:val="center"/>
          </w:tcPr>
          <w:p>
            <w:pPr>
              <w:pStyle w:val="13"/>
            </w:pPr>
            <w:r>
              <w:t>26.42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123.52</w:t>
            </w:r>
          </w:p>
        </w:tc>
        <w:tc>
          <w:tcPr>
            <w:tcW w:w="2551" w:type="dxa"/>
            <w:vAlign w:val="center"/>
          </w:tcPr>
          <w:p>
            <w:pPr>
              <w:pStyle w:val="13"/>
            </w:pPr>
          </w:p>
        </w:tc>
        <w:tc>
          <w:tcPr>
            <w:tcW w:w="2551" w:type="dxa"/>
            <w:vAlign w:val="center"/>
          </w:tcPr>
          <w:p>
            <w:pPr>
              <w:pStyle w:val="13"/>
            </w:pPr>
            <w:r>
              <w:t>123.52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2240703</w:t>
            </w:r>
          </w:p>
        </w:tc>
        <w:tc>
          <w:tcPr>
            <w:tcW w:w="4535" w:type="dxa"/>
            <w:vAlign w:val="center"/>
          </w:tcPr>
          <w:p>
            <w:pPr>
              <w:pStyle w:val="14"/>
            </w:pPr>
            <w:r>
              <w:t>自然灾害救灾补助</w:t>
            </w:r>
          </w:p>
        </w:tc>
        <w:tc>
          <w:tcPr>
            <w:tcW w:w="2551" w:type="dxa"/>
            <w:vAlign w:val="center"/>
          </w:tcPr>
          <w:p>
            <w:pPr>
              <w:pStyle w:val="13"/>
            </w:pPr>
            <w:r>
              <w:t>123.52</w:t>
            </w:r>
          </w:p>
        </w:tc>
        <w:tc>
          <w:tcPr>
            <w:tcW w:w="2551" w:type="dxa"/>
            <w:vAlign w:val="center"/>
          </w:tcPr>
          <w:p>
            <w:pPr>
              <w:pStyle w:val="13"/>
            </w:pPr>
          </w:p>
        </w:tc>
        <w:tc>
          <w:tcPr>
            <w:tcW w:w="2551" w:type="dxa"/>
            <w:vAlign w:val="center"/>
          </w:tcPr>
          <w:p>
            <w:pPr>
              <w:pStyle w:val="13"/>
            </w:pPr>
            <w:r>
              <w:t>123.52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904霸州市应急管理局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1100.48</w:t>
            </w:r>
          </w:p>
        </w:tc>
        <w:tc>
          <w:tcPr>
            <w:tcW w:w="2551" w:type="dxa"/>
            <w:vAlign w:val="center"/>
          </w:tcPr>
          <w:p>
            <w:pPr>
              <w:pStyle w:val="17"/>
            </w:pPr>
            <w:r>
              <w:t>958.17</w:t>
            </w:r>
          </w:p>
        </w:tc>
        <w:tc>
          <w:tcPr>
            <w:tcW w:w="2551" w:type="dxa"/>
            <w:vAlign w:val="center"/>
          </w:tcPr>
          <w:p>
            <w:pPr>
              <w:pStyle w:val="17"/>
            </w:pPr>
            <w:r>
              <w:t>142.31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875.06</w:t>
            </w:r>
          </w:p>
        </w:tc>
        <w:tc>
          <w:tcPr>
            <w:tcW w:w="2551" w:type="dxa"/>
            <w:vAlign w:val="center"/>
          </w:tcPr>
          <w:p>
            <w:pPr>
              <w:pStyle w:val="13"/>
            </w:pPr>
            <w:r>
              <w:t>875.06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265.97</w:t>
            </w:r>
          </w:p>
        </w:tc>
        <w:tc>
          <w:tcPr>
            <w:tcW w:w="2551" w:type="dxa"/>
            <w:vAlign w:val="center"/>
          </w:tcPr>
          <w:p>
            <w:pPr>
              <w:pStyle w:val="13"/>
            </w:pPr>
            <w:r>
              <w:t>265.97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128.38</w:t>
            </w:r>
          </w:p>
        </w:tc>
        <w:tc>
          <w:tcPr>
            <w:tcW w:w="2551" w:type="dxa"/>
            <w:vAlign w:val="center"/>
          </w:tcPr>
          <w:p>
            <w:pPr>
              <w:pStyle w:val="13"/>
            </w:pPr>
            <w:r>
              <w:t>128.38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37.93</w:t>
            </w:r>
          </w:p>
        </w:tc>
        <w:tc>
          <w:tcPr>
            <w:tcW w:w="2551" w:type="dxa"/>
            <w:vAlign w:val="center"/>
          </w:tcPr>
          <w:p>
            <w:pPr>
              <w:pStyle w:val="13"/>
            </w:pPr>
            <w:r>
              <w:t>37.93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246.72</w:t>
            </w:r>
          </w:p>
        </w:tc>
        <w:tc>
          <w:tcPr>
            <w:tcW w:w="2551" w:type="dxa"/>
            <w:vAlign w:val="center"/>
          </w:tcPr>
          <w:p>
            <w:pPr>
              <w:pStyle w:val="13"/>
            </w:pPr>
            <w:r>
              <w:t>246.72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71.25</w:t>
            </w:r>
          </w:p>
        </w:tc>
        <w:tc>
          <w:tcPr>
            <w:tcW w:w="2551" w:type="dxa"/>
            <w:vAlign w:val="center"/>
          </w:tcPr>
          <w:p>
            <w:pPr>
              <w:pStyle w:val="13"/>
            </w:pPr>
            <w:r>
              <w:t>71.25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11.79</w:t>
            </w:r>
          </w:p>
        </w:tc>
        <w:tc>
          <w:tcPr>
            <w:tcW w:w="2551" w:type="dxa"/>
            <w:vAlign w:val="center"/>
          </w:tcPr>
          <w:p>
            <w:pPr>
              <w:pStyle w:val="13"/>
            </w:pPr>
            <w:r>
              <w:t>11.79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15.58</w:t>
            </w:r>
          </w:p>
        </w:tc>
        <w:tc>
          <w:tcPr>
            <w:tcW w:w="2551" w:type="dxa"/>
            <w:vAlign w:val="center"/>
          </w:tcPr>
          <w:p>
            <w:pPr>
              <w:pStyle w:val="13"/>
            </w:pPr>
            <w:r>
              <w:t>15.58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53.44</w:t>
            </w:r>
          </w:p>
        </w:tc>
        <w:tc>
          <w:tcPr>
            <w:tcW w:w="2551" w:type="dxa"/>
            <w:vAlign w:val="center"/>
          </w:tcPr>
          <w:p>
            <w:pPr>
              <w:pStyle w:val="13"/>
            </w:pPr>
            <w:r>
              <w:t>53.44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142.31</w:t>
            </w:r>
          </w:p>
        </w:tc>
        <w:tc>
          <w:tcPr>
            <w:tcW w:w="2551" w:type="dxa"/>
            <w:vAlign w:val="center"/>
          </w:tcPr>
          <w:p>
            <w:pPr>
              <w:pStyle w:val="13"/>
            </w:pPr>
          </w:p>
        </w:tc>
        <w:tc>
          <w:tcPr>
            <w:tcW w:w="2551" w:type="dxa"/>
            <w:vAlign w:val="center"/>
          </w:tcPr>
          <w:p>
            <w:pPr>
              <w:pStyle w:val="13"/>
            </w:pPr>
            <w:r>
              <w:t>142.31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6.25</w:t>
            </w:r>
          </w:p>
        </w:tc>
        <w:tc>
          <w:tcPr>
            <w:tcW w:w="2551" w:type="dxa"/>
            <w:vAlign w:val="center"/>
          </w:tcPr>
          <w:p>
            <w:pPr>
              <w:pStyle w:val="13"/>
            </w:pPr>
          </w:p>
        </w:tc>
        <w:tc>
          <w:tcPr>
            <w:tcW w:w="2551" w:type="dxa"/>
            <w:vAlign w:val="center"/>
          </w:tcPr>
          <w:p>
            <w:pPr>
              <w:pStyle w:val="13"/>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5.12</w:t>
            </w:r>
          </w:p>
        </w:tc>
        <w:tc>
          <w:tcPr>
            <w:tcW w:w="2551" w:type="dxa"/>
            <w:vAlign w:val="center"/>
          </w:tcPr>
          <w:p>
            <w:pPr>
              <w:pStyle w:val="13"/>
            </w:pPr>
          </w:p>
        </w:tc>
        <w:tc>
          <w:tcPr>
            <w:tcW w:w="2551" w:type="dxa"/>
            <w:vAlign w:val="center"/>
          </w:tcPr>
          <w:p>
            <w:pPr>
              <w:pStyle w:val="13"/>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36.94</w:t>
            </w:r>
          </w:p>
        </w:tc>
        <w:tc>
          <w:tcPr>
            <w:tcW w:w="2551" w:type="dxa"/>
            <w:vAlign w:val="center"/>
          </w:tcPr>
          <w:p>
            <w:pPr>
              <w:pStyle w:val="13"/>
            </w:pPr>
          </w:p>
        </w:tc>
        <w:tc>
          <w:tcPr>
            <w:tcW w:w="2551" w:type="dxa"/>
            <w:vAlign w:val="center"/>
          </w:tcPr>
          <w:p>
            <w:pPr>
              <w:pStyle w:val="13"/>
            </w:pPr>
            <w:r>
              <w:t>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7.04</w:t>
            </w:r>
          </w:p>
        </w:tc>
        <w:tc>
          <w:tcPr>
            <w:tcW w:w="2551" w:type="dxa"/>
            <w:vAlign w:val="center"/>
          </w:tcPr>
          <w:p>
            <w:pPr>
              <w:pStyle w:val="13"/>
            </w:pPr>
          </w:p>
        </w:tc>
        <w:tc>
          <w:tcPr>
            <w:tcW w:w="2551" w:type="dxa"/>
            <w:vAlign w:val="center"/>
          </w:tcPr>
          <w:p>
            <w:pPr>
              <w:pStyle w:val="13"/>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6.40</w:t>
            </w:r>
          </w:p>
        </w:tc>
        <w:tc>
          <w:tcPr>
            <w:tcW w:w="2551" w:type="dxa"/>
            <w:vAlign w:val="center"/>
          </w:tcPr>
          <w:p>
            <w:pPr>
              <w:pStyle w:val="13"/>
            </w:pPr>
          </w:p>
        </w:tc>
        <w:tc>
          <w:tcPr>
            <w:tcW w:w="2551"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4.97</w:t>
            </w:r>
          </w:p>
        </w:tc>
        <w:tc>
          <w:tcPr>
            <w:tcW w:w="2551" w:type="dxa"/>
            <w:vAlign w:val="center"/>
          </w:tcPr>
          <w:p>
            <w:pPr>
              <w:pStyle w:val="13"/>
            </w:pPr>
          </w:p>
        </w:tc>
        <w:tc>
          <w:tcPr>
            <w:tcW w:w="2551" w:type="dxa"/>
            <w:vAlign w:val="center"/>
          </w:tcPr>
          <w:p>
            <w:pPr>
              <w:pStyle w:val="13"/>
            </w:pPr>
            <w: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18.50</w:t>
            </w:r>
          </w:p>
        </w:tc>
        <w:tc>
          <w:tcPr>
            <w:tcW w:w="2551" w:type="dxa"/>
            <w:vAlign w:val="center"/>
          </w:tcPr>
          <w:p>
            <w:pPr>
              <w:pStyle w:val="13"/>
            </w:pPr>
          </w:p>
        </w:tc>
        <w:tc>
          <w:tcPr>
            <w:tcW w:w="2551" w:type="dxa"/>
            <w:vAlign w:val="center"/>
          </w:tcPr>
          <w:p>
            <w:pPr>
              <w:pStyle w:val="13"/>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3.41</w:t>
            </w:r>
          </w:p>
        </w:tc>
        <w:tc>
          <w:tcPr>
            <w:tcW w:w="2551" w:type="dxa"/>
            <w:vAlign w:val="center"/>
          </w:tcPr>
          <w:p>
            <w:pPr>
              <w:pStyle w:val="13"/>
            </w:pPr>
          </w:p>
        </w:tc>
        <w:tc>
          <w:tcPr>
            <w:tcW w:w="2551" w:type="dxa"/>
            <w:vAlign w:val="center"/>
          </w:tcPr>
          <w:p>
            <w:pPr>
              <w:pStyle w:val="13"/>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8.91</w:t>
            </w:r>
          </w:p>
        </w:tc>
        <w:tc>
          <w:tcPr>
            <w:tcW w:w="2551" w:type="dxa"/>
            <w:vAlign w:val="center"/>
          </w:tcPr>
          <w:p>
            <w:pPr>
              <w:pStyle w:val="13"/>
            </w:pPr>
          </w:p>
        </w:tc>
        <w:tc>
          <w:tcPr>
            <w:tcW w:w="2551" w:type="dxa"/>
            <w:vAlign w:val="center"/>
          </w:tcPr>
          <w:p>
            <w:pPr>
              <w:pStyle w:val="13"/>
            </w:pPr>
            <w:r>
              <w:t>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5.69</w:t>
            </w:r>
          </w:p>
        </w:tc>
        <w:tc>
          <w:tcPr>
            <w:tcW w:w="2551" w:type="dxa"/>
            <w:vAlign w:val="center"/>
          </w:tcPr>
          <w:p>
            <w:pPr>
              <w:pStyle w:val="13"/>
            </w:pPr>
          </w:p>
        </w:tc>
        <w:tc>
          <w:tcPr>
            <w:tcW w:w="2551" w:type="dxa"/>
            <w:vAlign w:val="center"/>
          </w:tcPr>
          <w:p>
            <w:pPr>
              <w:pStyle w:val="13"/>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21.38</w:t>
            </w:r>
          </w:p>
        </w:tc>
        <w:tc>
          <w:tcPr>
            <w:tcW w:w="2551" w:type="dxa"/>
            <w:vAlign w:val="center"/>
          </w:tcPr>
          <w:p>
            <w:pPr>
              <w:pStyle w:val="13"/>
            </w:pPr>
          </w:p>
        </w:tc>
        <w:tc>
          <w:tcPr>
            <w:tcW w:w="2551" w:type="dxa"/>
            <w:vAlign w:val="center"/>
          </w:tcPr>
          <w:p>
            <w:pPr>
              <w:pStyle w:val="13"/>
            </w:pPr>
            <w: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12.18</w:t>
            </w:r>
          </w:p>
        </w:tc>
        <w:tc>
          <w:tcPr>
            <w:tcW w:w="2551" w:type="dxa"/>
            <w:vAlign w:val="center"/>
          </w:tcPr>
          <w:p>
            <w:pPr>
              <w:pStyle w:val="13"/>
            </w:pPr>
          </w:p>
        </w:tc>
        <w:tc>
          <w:tcPr>
            <w:tcW w:w="2551" w:type="dxa"/>
            <w:vAlign w:val="center"/>
          </w:tcPr>
          <w:p>
            <w:pPr>
              <w:pStyle w:val="13"/>
            </w:pPr>
            <w:r>
              <w:t>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83.11</w:t>
            </w:r>
          </w:p>
        </w:tc>
        <w:tc>
          <w:tcPr>
            <w:tcW w:w="2551" w:type="dxa"/>
            <w:vAlign w:val="center"/>
          </w:tcPr>
          <w:p>
            <w:pPr>
              <w:pStyle w:val="13"/>
            </w:pPr>
            <w:r>
              <w:t>83.11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19.06</w:t>
            </w:r>
          </w:p>
        </w:tc>
        <w:tc>
          <w:tcPr>
            <w:tcW w:w="2551" w:type="dxa"/>
            <w:vAlign w:val="center"/>
          </w:tcPr>
          <w:p>
            <w:pPr>
              <w:pStyle w:val="13"/>
            </w:pPr>
            <w:r>
              <w:t>19.06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63.89</w:t>
            </w:r>
          </w:p>
        </w:tc>
        <w:tc>
          <w:tcPr>
            <w:tcW w:w="2551" w:type="dxa"/>
            <w:vAlign w:val="center"/>
          </w:tcPr>
          <w:p>
            <w:pPr>
              <w:pStyle w:val="13"/>
            </w:pPr>
            <w:r>
              <w:t>63.89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0.16</w:t>
            </w:r>
          </w:p>
        </w:tc>
        <w:tc>
          <w:tcPr>
            <w:tcW w:w="2551" w:type="dxa"/>
            <w:vAlign w:val="center"/>
          </w:tcPr>
          <w:p>
            <w:pPr>
              <w:pStyle w:val="13"/>
            </w:pPr>
            <w:r>
              <w:t>0.16</w:t>
            </w:r>
          </w:p>
        </w:tc>
        <w:tc>
          <w:tcPr>
            <w:tcW w:w="2551"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904霸州市应急管理局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904霸州市应急管理局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904霸州市应急管理局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22.42</w:t>
            </w:r>
          </w:p>
        </w:tc>
        <w:tc>
          <w:tcPr>
            <w:tcW w:w="1643" w:type="dxa"/>
            <w:vAlign w:val="center"/>
          </w:tcPr>
          <w:p>
            <w:pPr>
              <w:pStyle w:val="17"/>
              <w:rPr>
                <w:rFonts w:hint="default" w:eastAsia="方正书宋_GBK"/>
                <w:lang w:val="en-US" w:eastAsia="zh-CN"/>
              </w:rPr>
            </w:pPr>
            <w:r>
              <w:rPr>
                <w:rFonts w:hint="eastAsia"/>
                <w:lang w:val="en-US" w:eastAsia="zh-CN"/>
              </w:rPr>
              <w:t>22.42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二、公务用车购置及运维费</w:t>
            </w:r>
          </w:p>
        </w:tc>
        <w:tc>
          <w:tcPr>
            <w:tcW w:w="1643" w:type="dxa"/>
            <w:vAlign w:val="center"/>
          </w:tcPr>
          <w:p>
            <w:pPr>
              <w:pStyle w:val="13"/>
            </w:pPr>
            <w:r>
              <w:t>21.38</w:t>
            </w:r>
          </w:p>
        </w:tc>
        <w:tc>
          <w:tcPr>
            <w:tcW w:w="1643" w:type="dxa"/>
            <w:vAlign w:val="center"/>
          </w:tcPr>
          <w:p>
            <w:pPr>
              <w:pStyle w:val="13"/>
            </w:pPr>
            <w:r>
              <w:t>21.38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 xml:space="preserve">          公务用车运行维护费</w:t>
            </w:r>
          </w:p>
        </w:tc>
        <w:tc>
          <w:tcPr>
            <w:tcW w:w="1643" w:type="dxa"/>
            <w:vAlign w:val="center"/>
          </w:tcPr>
          <w:p>
            <w:pPr>
              <w:pStyle w:val="13"/>
            </w:pPr>
            <w:r>
              <w:t>21.38</w:t>
            </w:r>
          </w:p>
        </w:tc>
        <w:tc>
          <w:tcPr>
            <w:tcW w:w="1643" w:type="dxa"/>
            <w:vAlign w:val="center"/>
          </w:tcPr>
          <w:p>
            <w:pPr>
              <w:pStyle w:val="13"/>
            </w:pPr>
            <w:r>
              <w:t>21.38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三、公务接待费</w:t>
            </w:r>
          </w:p>
        </w:tc>
        <w:tc>
          <w:tcPr>
            <w:tcW w:w="1643" w:type="dxa"/>
            <w:vAlign w:val="center"/>
          </w:tcPr>
          <w:p>
            <w:pPr>
              <w:pStyle w:val="13"/>
            </w:pPr>
            <w:r>
              <w:t>1.04</w:t>
            </w:r>
          </w:p>
        </w:tc>
        <w:tc>
          <w:tcPr>
            <w:tcW w:w="1643" w:type="dxa"/>
            <w:vAlign w:val="center"/>
          </w:tcPr>
          <w:p>
            <w:pPr>
              <w:pStyle w:val="13"/>
            </w:pPr>
            <w:r>
              <w:t>1.04</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霸州市应急管理局2022年部门预算信息公开情况说明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霸州市应急管理局2022年部门预算信息公开情况说明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按照《预算法》、《地方预决算公开操作规程》和《关于进一步推进预算公开工作的实施意见》规定，现将霸州市应急管理局2022年部门预算公开如下：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霸州市应急管理局</w:t>
      </w:r>
    </w:p>
    <w:p>
      <w:pPr>
        <w:pStyle w:val="19"/>
      </w:pPr>
      <w:r>
        <w:t>职能配置、内设机构和人员编制规定</w:t>
      </w:r>
    </w:p>
    <w:p>
      <w:pPr>
        <w:pStyle w:val="19"/>
      </w:pPr>
    </w:p>
    <w:p>
      <w:pPr>
        <w:pStyle w:val="19"/>
      </w:pPr>
      <w:r>
        <w:t>第一条  根据《中共廊坊市委办公室廊坊市人民政府办公室关于印发〈霸州市机构改革方案〉的通知》（廊办字〔2018〕72号），制定本规定。</w:t>
      </w:r>
    </w:p>
    <w:p>
      <w:pPr>
        <w:pStyle w:val="19"/>
      </w:pPr>
      <w:r>
        <w:t>第二条  霸州市应急管理局（简称市应急管理局）为市政府组成部门，机构规格正科级，加挂霸州市地震局牌子。</w:t>
      </w:r>
    </w:p>
    <w:p>
      <w:pPr>
        <w:pStyle w:val="19"/>
      </w:pPr>
      <w:r>
        <w:t>第三条  贯彻落实党中央和省委、市委关于应急管理工作的方针政策和决策部署，坚持和加强党对应急管理工作的集中统一领导。主要职责是：</w:t>
      </w:r>
    </w:p>
    <w:p>
      <w:pPr>
        <w:pStyle w:val="19"/>
      </w:pPr>
      <w:r>
        <w:t>（一）负责应急管理工作，指导各级各部门应对安全生产类、自然灾害类等突发事件和综合防灾减灾救灾工作。负责安全生产综合监督管理和工矿商贸行业安全生产监督管理工作。</w:t>
      </w:r>
    </w:p>
    <w:p>
      <w:pPr>
        <w:pStyle w:val="19"/>
      </w:pPr>
      <w:r>
        <w:t>（二）拟订应急管理、安全生产等政策规定，组织编制市应急体系建设、安全生产和综合防灾减灾规划，组织编制防震减灾规划、计划，组织制定相关规程和标准并监督实施。</w:t>
      </w:r>
    </w:p>
    <w:p>
      <w:pPr>
        <w:pStyle w:val="19"/>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19"/>
      </w:pPr>
      <w:r>
        <w:t>（四）牵头建立统一的全市应急管理信息系统，负责信息传输渠道的规划和布局，建立监测预警和灾情报告制度，健全自然灾害信息资源获取和共享机制，依法统一发布灾情。</w:t>
      </w:r>
    </w:p>
    <w:p>
      <w:pPr>
        <w:pStyle w:val="19"/>
      </w:pPr>
      <w: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19"/>
      </w:pPr>
      <w:r>
        <w:t>（八）组织协调消防工作，指导各级消防监督、火灾预防、火灾扑救等工作。</w:t>
      </w:r>
    </w:p>
    <w:p>
      <w:pPr>
        <w:pStyle w:val="19"/>
      </w:pPr>
      <w:r>
        <w:t>（九）指导协调森林和草原火灾、水旱灾害、地质灾害等防治工作，组织开展地震监测预报工作和地震灾害预防工作，负责自然灾害综合监测预警工作，指导开展自然灾害综合风险评估工作。</w:t>
      </w:r>
    </w:p>
    <w:p>
      <w:pPr>
        <w:pStyle w:val="19"/>
      </w:pPr>
      <w:r>
        <w:t>（十）组织协调灾害救助工作，组织指导灾情核查、损</w:t>
      </w:r>
    </w:p>
    <w:p>
      <w:pPr>
        <w:pStyle w:val="19"/>
      </w:pPr>
      <w:r>
        <w:t>失评估、救灾捐赠工作，管理、分配市救灾款物并监督使用。</w:t>
      </w:r>
    </w:p>
    <w:p>
      <w:pPr>
        <w:pStyle w:val="19"/>
      </w:pPr>
      <w:r>
        <w:t>（十一）依法行使市安全生产综合监督管理职权，指导协调、监督检查市有关部门和各乡镇（区、办）安全生产工作，组织开展安全生产巡查、考核工作。</w:t>
      </w:r>
    </w:p>
    <w:p>
      <w:pPr>
        <w:pStyle w:val="19"/>
      </w:pPr>
      <w:r>
        <w:t>（十二）按照分级、属地原则，依法监督检查工矿商贸生产经营单位贯彻执行安全生产法律法规情况，及其安全生产条件和有关设备（特种设备除外）、材料、劳动防护用品的安全生产管理工作；配合上级主管部门监督管理驻霸中央、省、市属企业的安全生产工作；依法组织并指导监督实施安全生产准入制度；负责危险化学品安全监督管理综合工作和烟花爆竹安全生产监督管理工作。</w:t>
      </w:r>
    </w:p>
    <w:p>
      <w:pPr>
        <w:pStyle w:val="19"/>
      </w:pPr>
      <w:r>
        <w:t>（十三）依法组织指导生产安全事故调查处理，监督事故查处和责任追究落实情况。组织开展自然灾害类突发事件的调查评估工作。</w:t>
      </w:r>
    </w:p>
    <w:p>
      <w:pPr>
        <w:pStyle w:val="19"/>
      </w:pPr>
      <w:r>
        <w:t>（十四）制定应急物资储备和应急救援装备规划并组织实施，会同市粮食和物资储备等部门建立健全应急物资信息平台和调拨制度，在救灾时统一调度。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（十六）负责组织指导协调和监督全市安全生产行政执法工作，配合上级主管部门组织开展驻霸中央、省、市属企业的执法检查，组织开展对安全生产重点企业的执法检查，负责全市抗震设防执法工作。</w:t>
      </w:r>
    </w:p>
    <w:p>
      <w:pPr>
        <w:pStyle w:val="19"/>
      </w:pPr>
      <w:r>
        <w:t>（十七）组织开展应急管理方面的对外交流与合作。</w:t>
      </w:r>
    </w:p>
    <w:p>
      <w:pPr>
        <w:pStyle w:val="19"/>
      </w:pPr>
      <w:r>
        <w:t>（十八）负责上级主管部门相对应的其他职责。</w:t>
      </w:r>
    </w:p>
    <w:p>
      <w:pPr>
        <w:pStyle w:val="19"/>
      </w:pPr>
      <w:r>
        <w:t>（十九）完成市委、市政府交办的其他任务。</w:t>
      </w:r>
    </w:p>
    <w:p>
      <w:pPr>
        <w:pStyle w:val="19"/>
      </w:pPr>
      <w:r>
        <w:t>第四条  转变职能。市应急管理局应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pStyle w:val="19"/>
      </w:pPr>
      <w:r>
        <w:t>第五条  有关职责分工：</w:t>
      </w:r>
    </w:p>
    <w:p>
      <w:pPr>
        <w:pStyle w:val="19"/>
      </w:pPr>
      <w:r>
        <w:t>（一）与市自然资源和规划局（市林业局）、市水务局等部门在自然灾害防救方面的职责分工。</w:t>
      </w:r>
    </w:p>
    <w:p>
      <w:pPr>
        <w:pStyle w:val="19"/>
      </w:pPr>
      <w:r>
        <w:t>1.市应急管理局负责组织编制全市总体应急预案和安全生产类、自然灾害类专项预案，综合协调应急预案衔接工作，组织开展预案演练；按照分级负责的原则，指导自然灾害类应急救援；组织协调重大灾害应急救援工作，并按权限作出决定；承担市应对重大灾害指挥部工作，协助市委、市政府指定的负责同志组织重大灾害应急处置工作；组织编制全市综合防灾减灾规划，指导协调相关部门森林和草原火灾、水旱灾害、地质灾害等防治工作；会同市自然资源和规划局（市林业局）、市水务局、市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19"/>
      </w:pPr>
      <w:r>
        <w:t>2.市自然资源和规划局（市林业局）负责落实综合防灾减灾规划相关要求，组织编制地质灾害、森林和草原火灾防治规划和防护标准并指导实施；组织指导协调和监督地质灾害调查评价及隐患的普查、详查、排查；指导开展群测群防、专业监测和预报预警等工作，指导开展地质灾害工程治理工作；承担地质灾害应急救援的技术支撑工作；指导开展森林和草原防火巡护、火源管理、防火设施建设等工作；组织指导国有林场林区和草原开展防火宣传教育、监测预警、督促检查等工作。</w:t>
      </w:r>
    </w:p>
    <w:p>
      <w:pPr>
        <w:pStyle w:val="19"/>
      </w:pPr>
      <w:r>
        <w:t>3.市水务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19"/>
      </w:pPr>
      <w:r>
        <w:t>4.必要时，市自然资源和规划局（市林业局）、市水务局等部门可以提请市应急管理局，以市应急指挥机构名义部署相关防治工作。</w:t>
      </w:r>
    </w:p>
    <w:p>
      <w:pPr>
        <w:pStyle w:val="19"/>
      </w:pPr>
      <w:r>
        <w:t>（二）与市发展和改革委员会（市粮食和物资储备局）在救灾物资储备方面的职责分工。</w:t>
      </w:r>
    </w:p>
    <w:p>
      <w:pPr>
        <w:pStyle w:val="19"/>
      </w:pPr>
      <w:r>
        <w:t>1.市应急管理局负责提出救灾物资的储备需求和动用预案，组织编制救灾物资储备规划、品种目录和标准，确定年度购置计划，根据需要下达动用指令。</w:t>
      </w:r>
    </w:p>
    <w:p>
      <w:pPr>
        <w:pStyle w:val="19"/>
      </w:pPr>
      <w:r>
        <w:t>2.市发展和改革委员会（市粮食和物资储备局）负责收储、轮换和管理有关应急救灾物资，按程序及时做好调出、运送等工作。</w:t>
      </w:r>
    </w:p>
    <w:p>
      <w:pPr>
        <w:pStyle w:val="19"/>
      </w:pPr>
      <w:r>
        <w:t>第六条  市应急管理局设下列内设机构：</w:t>
      </w:r>
    </w:p>
    <w:p>
      <w:pPr>
        <w:pStyle w:val="19"/>
      </w:pPr>
      <w:r>
        <w:t>（一）办公室。负责机关日常运转，承担文电、会务、机要、档案、信息、安全、保密、信访、政务公开、重要文稿起草，建议议案提案办理。负责后勤管理工作。负责机关和直属单位干部劳动工资、部门预决算、财务、内部审计、人事、机构编制工作，负责装备和资产管理工作。负责机关党建和纪检监察工作。承担应急管理和安全生产、防灾减灾救灾技术服务机构监督管理工作，负责安全生产检测检验、安全评价、安全标志中介机构资质管理并监督检查。</w:t>
      </w:r>
    </w:p>
    <w:p>
      <w:pPr>
        <w:pStyle w:val="19"/>
      </w:pPr>
      <w:r>
        <w:t>（二）应急股。承担应急值守、政务值班等工作，衔接武装部联系解放军和武警部队参与应急救援工作，统筹应急预案体系建设，组织编制全市总体应急预案和安全生产类、自然灾害类专项预案，综合协调各类应急预案衔接工作，承担预案演练的组织实施和指导监督工作，统筹应急救援力量建设，指导各部门及社会应急救援力量建设，组织指导应急管理社会动员工作。承担应急管理、安全生产的科技和信息化建设工作，规划信息传输渠道，健全自然灾害信息资源获取和共享机制，拟订有关科技规划、计划并组织实施。</w:t>
      </w:r>
    </w:p>
    <w:p>
      <w:pPr>
        <w:pStyle w:val="19"/>
      </w:pPr>
      <w:r>
        <w:t>（三）安全生产基础股。负责非煤矿山（含地质勘探、尾矿库）、石油（炼化、成品油管道除外）、冶金、有色、建材、机械、轻工、纺织、烟草、商贸等工矿商贸行业安全生产监管工作，拟订相关行业安全生产规程、标准，指导监督相关行业企业安全生产标准化、安全预防控制体系建设等工作。</w:t>
      </w:r>
    </w:p>
    <w:p>
      <w:pPr>
        <w:pStyle w:val="19"/>
      </w:pPr>
      <w:r>
        <w:t>（四）危险化学品安全监督管理股。负责化工（含石油化工）、医药、危险化学品和烟花爆竹安全生产监督管理工作，承担危险化学品安全监督管理综合工作，组织指导全市危险化学品登记，指导非药品类易制毒化学品生产经营监督管理工作，并承担行政许可工作，依法公开行政审批信息。</w:t>
      </w:r>
    </w:p>
    <w:p>
      <w:pPr>
        <w:pStyle w:val="19"/>
      </w:pPr>
      <w:r>
        <w:t>（五）安全生产综合协调股。依法依规指导协调和监督有专门安全生产主管部门的行业和领域安全生产监督管理工作，组织协调全市性安全生产检查以及专项督查、专项整治等工作，承担安全生产巡查、考核的组织实施工作。</w:t>
      </w:r>
    </w:p>
    <w:p>
      <w:pPr>
        <w:pStyle w:val="19"/>
      </w:pPr>
      <w:r>
        <w:t>（六）政策法规股。组织起草相关地方性标准，负责执法监督综合性工作，指导应急管理系统法治建设，组织开展普法活动，承担重大政策研究工作，承担规范性文件的合法性审查和行政复议、行政应诉等工作。编制全市应急体系建设、安全生产和综合防灾减灾规划并组织实施，研究拟订相关经济政策，推动应急重点工程建设。依法承担生产安全事故和事故举报的调查处理工作，监督事故查处和责任追究情况，组织开展自然灾害类突发事件的调查评估工作，负责应急管理统计分析工作。</w:t>
      </w:r>
    </w:p>
    <w:p>
      <w:pPr>
        <w:pStyle w:val="19"/>
      </w:pPr>
      <w:r>
        <w:t>（七）宣传教育培训股。负责指导应急管理系统思想政治建设和干部队伍建设工作，负责全市应急管理系统干部教育培训工作，负责全市安全生产培训工作，拟订全市综合性应急救援队伍管理保障办法并组织实施，拟订综合性消防应急救援队伍干部教育培训规划、计划，指导应急救援队伍教育训练，负责所属应急管理培训基地、体验基地建设和管理工作，负责应急管理方面的对外交流合作。承担应急管理和安全生产新闻宣传、舆情应对、文化建设、宣传教育等工作，开展公众知识普及工作。</w:t>
      </w:r>
    </w:p>
    <w:p>
      <w:pPr>
        <w:pStyle w:val="19"/>
      </w:pPr>
      <w:r>
        <w:t>（八）地震和地质灾害防御救援股。组织编制全市防震减灾规划，组织开展全市地震监测预报工作和地震灾害预防工作，指导协调地质灾害防治相关工作，推动应急避难设施建设，组织地震和重大地质灾害应急救援工作，鼓励各种社会力量开展防震减灾科学研究、地震救助技术和救援理论的研究和推广，负责域内新建、改建、扩建工程抗震设防的监督管理。负责地震仪器的观测和反馈，负责收集汇总宏观观测信息资料，做好观测资料的存档工作，负责地震观测仪器的巡查，维护地震监测站的正常运转，及时推进进一步加强对地震监测网络管理更新的意见和建议，不断提高监测能力。负责地震信息的网络维护，地震数据信息的管理工作。组织拟订地方性消防技术标准并监督实施，指导城镇、农村消防工作规划编制并推进落实，指导消防监督、火灾预防、火灾扑救工作。承担灾情核查、损失评估、救灾捐赠等灾害救助工作，拟订应急物资储备规划和需求计划，组织建立应急物资共用共享和协调机制，组织协调重要应急物资的储备、调拨和紧急配送，承担市级救灾款物的管理、分配和监督使用工作，会同有关方面组织协调紧急转移安置受灾群众、因灾毁损房屋恢复重建补助和受灾群众生活救助。建立重大安全生产风险监测预警和评估论证机制，承担自然灾害综合监测预警工作，拟订自然灾害风险管理制度，组织开展自然灾害综合风险与减灾能力调查评估。</w:t>
      </w:r>
    </w:p>
    <w:p>
      <w:pPr>
        <w:pStyle w:val="19"/>
      </w:pPr>
      <w:r>
        <w:t>（九）防汛抗旱股。组织协调水旱灾害应急救援工作，协调指导重要江河湖泊和重要水工程实施防御洪水抗御旱灾调度和应急水量调度工作，组织协调台风防御工作。</w:t>
      </w:r>
    </w:p>
    <w:p>
      <w:pPr>
        <w:pStyle w:val="19"/>
      </w:pPr>
    </w:p>
    <w:p>
      <w:pPr>
        <w:pStyle w:val="19"/>
      </w:pPr>
    </w:p>
    <w:p>
      <w:pPr>
        <w:pStyle w:val="19"/>
      </w:pPr>
    </w:p>
    <w:p>
      <w:pPr>
        <w:pStyle w:val="19"/>
      </w:pPr>
    </w:p>
    <w:p>
      <w:pPr>
        <w:pStyle w:val="19"/>
      </w:pPr>
      <w:r>
        <w:t>事业机构设置及职能：</w:t>
      </w:r>
    </w:p>
    <w:p>
      <w:pPr>
        <w:pStyle w:val="19"/>
      </w:pPr>
      <w:r>
        <w:t>一、霸州市安全生产监察大队，主要职责：组织全市性安全生产大检查和专项督查。负责职责内的生产安全事故的举报受理及核查工作。负责对各生产经营单位(以下简称企业)安全生产的日常监察执法工作，依法对企业安全生产违法行为实施行政处罚；负责对企业的安全生产条件进行监察执法；负责对企业重大危险源监控和重大隐患整改情况进行监察执法；负责对企业的主要负责人、分管人员、安全生产管理人员和特种作业操作人员持证上岗情况以及企业其他从业人员安全生产教育培训情况进行监察执法；负责对企业执行安全生产监察指令情况的督察；接受上级安全生产监察机构的工作指导；承办市政府交办的其它事项。为相当于副科级事业单位，事业编制仍为20名，领导职数任为1正2副，下设5个监察中队，机构规格正股级，领导职数各1名，经费形式为财政性资金基本保证，事业单位类别仍为公益一类。</w:t>
      </w:r>
    </w:p>
    <w:p>
      <w:pPr>
        <w:pStyle w:val="19"/>
      </w:pPr>
      <w:r>
        <w:t>二、霸州市安全培训考试中心，主要职责：负责安全培训考试点的考场考务组织工作，负责考点考核设施的日常维护保养工作，负责生产经营单位主要负责人、安全生产生产管理人员、特种作业人员及其他从业人员安全生产考试工作，负责向参考人员通报相关考试信息，负责公布和发放相关考试合格人员资（合）格证书及考试成绩单，承担上级安排部署的各类安全生产考试工作。为相当于正股级事业单位，事业编制仍为2名，领导职数为1正，经费形式为财政性资金基本保证，事业单位类别仍为公益一类。</w:t>
      </w:r>
    </w:p>
    <w:p>
      <w:pPr>
        <w:pStyle w:val="19"/>
      </w:pPr>
      <w:r>
        <w:t>三、霸州市重大危险源监控指挥中心主要职责为：负责全市重大危险源监管信息系统有关工作，对各行业企业重大危险源企业进行24小时监控，发布预警和灾情信息，为相当于正股级事业单位，事业编制仍为2名,领导职数仍为1正，经费形式仍为财政性资金基本保证,事业单位类别仍为公益一类。</w:t>
      </w:r>
    </w:p>
    <w:p>
      <w:pPr>
        <w:pStyle w:val="19"/>
      </w:pPr>
    </w:p>
    <w:p>
      <w:pPr>
        <w:pStyle w:val="19"/>
      </w:pPr>
    </w:p>
    <w:p>
      <w:pPr>
        <w:pStyle w:val="19"/>
      </w:pP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霸州市应急管理局本级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84" w:lineRule="exact"/>
        <w:ind w:firstLine="560" w:firstLineChars="20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按照预算管理有关规定，目前我省部门预算的编制实行综合预算管理，即全部收入和支出都反映在预算中。霸州市应急管理局机关及所属事业单位的收支包含在部门预算中。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反映本部门当年全部收入。202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1947.69</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1906.27</w:t>
      </w:r>
      <w:r>
        <w:rPr>
          <w:rFonts w:hint="eastAsia" w:ascii="Times New Roman" w:hAnsi="Times New Roman" w:eastAsia="方正仿宋_GBK" w:cs="Times New Roman"/>
          <w:sz w:val="28"/>
          <w:szCs w:val="24"/>
          <w:lang w:val="en-US" w:eastAsia="uk-UA" w:bidi="ar-SA"/>
        </w:rPr>
        <w:t>万元，政府性基金预算收入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万元，国有资本经营预算收入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财政专户管理资金收入0万元，</w:t>
      </w:r>
      <w:r>
        <w:rPr>
          <w:rFonts w:hint="eastAsia" w:ascii="Times New Roman" w:hAnsi="Times New Roman" w:eastAsia="方正仿宋_GBK" w:cs="Times New Roman"/>
          <w:sz w:val="28"/>
          <w:szCs w:val="24"/>
          <w:lang w:val="en-US" w:eastAsia="uk-UA" w:bidi="ar-SA"/>
        </w:rPr>
        <w:t>上级补助收入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万元，事业收入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万元，经营收入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万元，附属单位上缴收入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万元，其他收入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，上年结转41.42万元。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收支预算总表支出栏、基本支出表、项目支出表按经济分类和支出功能分类科目编制，反映霸州市</w:t>
      </w:r>
      <w:r>
        <w:rPr>
          <w:rFonts w:hint="eastAsia" w:ascii="Times New Roman" w:hAnsi="Times New Roman" w:eastAsia="方正仿宋_GBK" w:cs="Times New Roman"/>
          <w:sz w:val="28"/>
          <w:szCs w:val="24"/>
          <w:lang w:val="en-US" w:eastAsia="zh-CN" w:bidi="ar-SA"/>
        </w:rPr>
        <w:t>应急管理局</w:t>
      </w: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年度部门预算中支出预算的总体情况。202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年本部门支出预算</w:t>
      </w:r>
      <w:r>
        <w:rPr>
          <w:rFonts w:hint="eastAsia" w:ascii="Times New Roman" w:hAnsi="Times New Roman" w:eastAsia="方正仿宋_GBK" w:cs="Times New Roman"/>
          <w:sz w:val="28"/>
          <w:szCs w:val="24"/>
          <w:lang w:val="en-US" w:eastAsia="zh-CN" w:bidi="ar-SA"/>
        </w:rPr>
        <w:t>1947.69</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1100.48</w:t>
      </w:r>
      <w:r>
        <w:rPr>
          <w:rFonts w:hint="eastAsia" w:ascii="Times New Roman" w:hAnsi="Times New Roman" w:eastAsia="方正仿宋_GBK" w:cs="Times New Roman"/>
          <w:sz w:val="28"/>
          <w:szCs w:val="24"/>
          <w:lang w:val="en-US" w:eastAsia="uk-UA" w:bidi="ar-SA"/>
        </w:rPr>
        <w:t>万元，包括：人员</w:t>
      </w:r>
      <w:r>
        <w:rPr>
          <w:rFonts w:hint="eastAsia" w:ascii="Times New Roman" w:hAnsi="Times New Roman" w:eastAsia="方正仿宋_GBK" w:cs="Times New Roman"/>
          <w:sz w:val="28"/>
          <w:szCs w:val="24"/>
          <w:lang w:val="en-US" w:eastAsia="zh-CN" w:bidi="ar-SA"/>
        </w:rPr>
        <w:t>类项目</w:t>
      </w:r>
      <w:r>
        <w:rPr>
          <w:rFonts w:hint="eastAsia" w:ascii="Times New Roman" w:hAnsi="Times New Roman" w:eastAsia="方正仿宋_GBK" w:cs="Times New Roman"/>
          <w:sz w:val="28"/>
          <w:szCs w:val="24"/>
          <w:lang w:val="en-US" w:eastAsia="uk-UA" w:bidi="ar-SA"/>
        </w:rPr>
        <w:t>经费</w:t>
      </w:r>
      <w:r>
        <w:rPr>
          <w:rFonts w:hint="eastAsia" w:ascii="Times New Roman" w:hAnsi="Times New Roman" w:eastAsia="方正仿宋_GBK" w:cs="Times New Roman"/>
          <w:sz w:val="28"/>
          <w:szCs w:val="24"/>
          <w:lang w:val="en-US" w:eastAsia="zh-CN" w:bidi="ar-SA"/>
        </w:rPr>
        <w:t>958.17</w:t>
      </w:r>
      <w:r>
        <w:rPr>
          <w:rFonts w:hint="eastAsia" w:ascii="Times New Roman" w:hAnsi="Times New Roman" w:eastAsia="方正仿宋_GBK" w:cs="Times New Roman"/>
          <w:sz w:val="28"/>
          <w:szCs w:val="24"/>
          <w:lang w:val="en-US" w:eastAsia="uk-UA" w:bidi="ar-SA"/>
        </w:rPr>
        <w:t>万元和</w:t>
      </w:r>
      <w:r>
        <w:rPr>
          <w:rFonts w:hint="eastAsia" w:ascii="Times New Roman" w:hAnsi="Times New Roman" w:eastAsia="方正仿宋_GBK" w:cs="Times New Roman"/>
          <w:sz w:val="28"/>
          <w:szCs w:val="24"/>
          <w:lang w:val="en-US" w:eastAsia="zh-CN" w:bidi="ar-SA"/>
        </w:rPr>
        <w:t>运转类</w:t>
      </w:r>
      <w:r>
        <w:rPr>
          <w:rFonts w:hint="eastAsia" w:ascii="Times New Roman" w:hAnsi="Times New Roman" w:eastAsia="方正仿宋_GBK" w:cs="Times New Roman"/>
          <w:sz w:val="28"/>
          <w:szCs w:val="24"/>
          <w:lang w:val="en-US" w:eastAsia="uk-UA" w:bidi="ar-SA"/>
        </w:rPr>
        <w:t>公用</w:t>
      </w:r>
      <w:r>
        <w:rPr>
          <w:rFonts w:hint="eastAsia" w:ascii="Times New Roman" w:hAnsi="Times New Roman" w:eastAsia="方正仿宋_GBK" w:cs="Times New Roman"/>
          <w:sz w:val="28"/>
          <w:szCs w:val="24"/>
          <w:lang w:val="en-US" w:eastAsia="zh-CN" w:bidi="ar-SA"/>
        </w:rPr>
        <w:t>项目</w:t>
      </w:r>
      <w:r>
        <w:rPr>
          <w:rFonts w:hint="eastAsia" w:ascii="Times New Roman" w:hAnsi="Times New Roman" w:eastAsia="方正仿宋_GBK" w:cs="Times New Roman"/>
          <w:sz w:val="28"/>
          <w:szCs w:val="24"/>
          <w:lang w:val="en-US" w:eastAsia="uk-UA" w:bidi="ar-SA"/>
        </w:rPr>
        <w:t>经费</w:t>
      </w:r>
      <w:r>
        <w:rPr>
          <w:rFonts w:hint="eastAsia" w:ascii="Times New Roman" w:hAnsi="Times New Roman" w:eastAsia="方正仿宋_GBK" w:cs="Times New Roman"/>
          <w:sz w:val="28"/>
          <w:szCs w:val="24"/>
          <w:lang w:val="en-US" w:eastAsia="zh-CN" w:bidi="ar-SA"/>
        </w:rPr>
        <w:t>142.31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运转类其他及特定目标类</w:t>
      </w: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847.21</w:t>
      </w:r>
      <w:r>
        <w:rPr>
          <w:rFonts w:hint="eastAsia" w:ascii="Times New Roman" w:hAnsi="Times New Roman" w:eastAsia="方正仿宋_GBK" w:cs="Times New Roman"/>
          <w:sz w:val="28"/>
          <w:szCs w:val="24"/>
          <w:lang w:val="en-US" w:eastAsia="uk-UA" w:bidi="ar-SA"/>
        </w:rPr>
        <w:t>万元，全部为本级支出，主要为</w:t>
      </w:r>
      <w:r>
        <w:rPr>
          <w:rFonts w:hint="eastAsia" w:ascii="Times New Roman" w:hAnsi="Times New Roman" w:eastAsia="方正仿宋_GBK" w:cs="Times New Roman"/>
          <w:sz w:val="28"/>
          <w:szCs w:val="24"/>
          <w:lang w:val="en-US" w:eastAsia="zh-CN" w:bidi="ar-SA"/>
        </w:rPr>
        <w:t>安全生产监察监管专项经费、应急防汛资金、应急管理宣传教育培训经费</w:t>
      </w:r>
      <w:r>
        <w:rPr>
          <w:rFonts w:hint="eastAsia" w:ascii="Times New Roman" w:hAnsi="Times New Roman" w:eastAsia="方正仿宋_GBK" w:cs="Times New Roman"/>
          <w:sz w:val="28"/>
          <w:szCs w:val="24"/>
          <w:lang w:val="en-US" w:eastAsia="uk-UA" w:bidi="ar-SA"/>
        </w:rPr>
        <w:t>等；上缴上级支出</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万元，经营支出</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万元，对附属单位补助支出</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ind w:firstLine="64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sz w:val="32"/>
          <w:szCs w:val="32"/>
        </w:rPr>
        <w:t>3、比上年增减情况</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1947.69</w:t>
      </w:r>
      <w:r>
        <w:rPr>
          <w:rFonts w:hint="eastAsia" w:ascii="Times New Roman" w:hAnsi="Times New Roman" w:eastAsia="方正仿宋_GBK" w:cs="Times New Roman"/>
          <w:sz w:val="28"/>
          <w:szCs w:val="24"/>
          <w:lang w:val="en-US" w:eastAsia="uk-UA" w:bidi="ar-SA"/>
        </w:rPr>
        <w:t>万元，较20</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预算</w:t>
      </w:r>
      <w:r>
        <w:rPr>
          <w:rFonts w:hint="eastAsia" w:ascii="Times New Roman" w:hAnsi="Times New Roman" w:eastAsia="方正仿宋_GBK" w:cs="Times New Roman"/>
          <w:sz w:val="28"/>
          <w:szCs w:val="24"/>
          <w:lang w:val="en-US" w:eastAsia="zh-CN" w:bidi="ar-SA"/>
        </w:rPr>
        <w:t>减少372.76</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减少105.15</w:t>
      </w:r>
      <w:r>
        <w:rPr>
          <w:rFonts w:hint="eastAsia" w:ascii="Times New Roman" w:hAnsi="Times New Roman" w:eastAsia="方正仿宋_GBK" w:cs="Times New Roman"/>
          <w:sz w:val="28"/>
          <w:szCs w:val="24"/>
          <w:lang w:val="en-US" w:eastAsia="uk-UA" w:bidi="ar-SA"/>
        </w:rPr>
        <w:t>万元，主要为</w:t>
      </w:r>
      <w:r>
        <w:rPr>
          <w:rFonts w:hint="eastAsia" w:ascii="Times New Roman" w:hAnsi="Times New Roman" w:eastAsia="方正仿宋_GBK" w:cs="Times New Roman"/>
          <w:sz w:val="28"/>
          <w:szCs w:val="24"/>
          <w:lang w:val="en-US" w:eastAsia="zh-CN" w:bidi="ar-SA"/>
        </w:rPr>
        <w:t>减少人员项目经费支</w:t>
      </w:r>
      <w:r>
        <w:rPr>
          <w:rFonts w:hint="eastAsia" w:ascii="Times New Roman" w:hAnsi="Times New Roman" w:eastAsia="方正仿宋_GBK" w:cs="Times New Roman"/>
          <w:sz w:val="28"/>
          <w:szCs w:val="24"/>
          <w:lang w:val="en-US" w:eastAsia="uk-UA" w:bidi="ar-SA"/>
        </w:rPr>
        <w:t>出；项目支出</w:t>
      </w:r>
      <w:r>
        <w:rPr>
          <w:rFonts w:hint="eastAsia" w:ascii="Times New Roman" w:hAnsi="Times New Roman" w:eastAsia="方正仿宋_GBK" w:cs="Times New Roman"/>
          <w:sz w:val="28"/>
          <w:szCs w:val="24"/>
          <w:lang w:val="en-US" w:eastAsia="zh-CN" w:bidi="ar-SA"/>
        </w:rPr>
        <w:t>减少267.61</w:t>
      </w:r>
      <w:r>
        <w:rPr>
          <w:rFonts w:hint="eastAsia" w:ascii="Times New Roman" w:hAnsi="Times New Roman" w:eastAsia="方正仿宋_GBK" w:cs="Times New Roman"/>
          <w:sz w:val="28"/>
          <w:szCs w:val="24"/>
          <w:lang w:val="en-US" w:eastAsia="uk-UA" w:bidi="ar-SA"/>
        </w:rPr>
        <w:t>万元，主要为</w:t>
      </w:r>
      <w:r>
        <w:rPr>
          <w:rFonts w:hint="eastAsia" w:ascii="Times New Roman" w:hAnsi="Times New Roman" w:eastAsia="方正仿宋_GBK" w:cs="Times New Roman"/>
          <w:sz w:val="28"/>
          <w:szCs w:val="24"/>
          <w:lang w:val="en-US" w:eastAsia="zh-CN" w:bidi="ar-SA"/>
        </w:rPr>
        <w:t>减少霸州市杨芬港镇樊李杨村垃圾倾倒区生态环境调查评估报告与治理方案应急资金</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安全生产监管聘用专家技术服务费等</w:t>
      </w:r>
      <w:r>
        <w:rPr>
          <w:rFonts w:hint="eastAsia" w:ascii="Times New Roman" w:hAnsi="Times New Roman" w:eastAsia="方正仿宋_GBK" w:cs="Times New Roman"/>
          <w:sz w:val="28"/>
          <w:szCs w:val="24"/>
          <w:lang w:val="en-US" w:eastAsia="uk-UA" w:bidi="ar-SA"/>
        </w:rPr>
        <w:t>项目支出。</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142.31</w:t>
      </w:r>
      <w:r>
        <w:rPr>
          <w:rFonts w:hint="eastAsia" w:ascii="Times New Roman" w:hAnsi="Times New Roman" w:eastAsia="方正仿宋_GBK" w:cs="Times New Roman"/>
          <w:sz w:val="28"/>
          <w:szCs w:val="24"/>
          <w:lang w:val="en-US" w:eastAsia="uk-UA" w:bidi="ar-SA"/>
        </w:rPr>
        <w:t>万元，主要用于办公区的日常维修、办公用房水电费、办公用房取暖费、办公及印刷费，邮电费、差旅费、</w:t>
      </w:r>
      <w:r>
        <w:rPr>
          <w:rFonts w:hint="eastAsia" w:ascii="Times New Roman" w:hAnsi="Times New Roman" w:eastAsia="方正仿宋_GBK" w:cs="Times New Roman"/>
          <w:sz w:val="28"/>
          <w:szCs w:val="24"/>
          <w:lang w:val="en-US" w:eastAsia="zh-CN" w:bidi="ar-SA"/>
        </w:rPr>
        <w:t>公务接待</w:t>
      </w:r>
      <w:r>
        <w:rPr>
          <w:rFonts w:hint="eastAsia" w:ascii="Times New Roman" w:hAnsi="Times New Roman" w:eastAsia="方正仿宋_GBK" w:cs="Times New Roman"/>
          <w:sz w:val="28"/>
          <w:szCs w:val="24"/>
          <w:lang w:val="en-US" w:eastAsia="uk-UA" w:bidi="ar-SA"/>
        </w:rPr>
        <w:t>费、福利费、</w:t>
      </w:r>
      <w:r>
        <w:rPr>
          <w:rFonts w:hint="eastAsia" w:ascii="Times New Roman" w:hAnsi="Times New Roman" w:eastAsia="方正仿宋_GBK" w:cs="Times New Roman"/>
          <w:sz w:val="28"/>
          <w:szCs w:val="24"/>
          <w:lang w:val="en-US" w:eastAsia="zh-CN" w:bidi="ar-SA"/>
        </w:rPr>
        <w:t>公务用车购置费</w:t>
      </w:r>
      <w:r>
        <w:rPr>
          <w:rFonts w:hint="eastAsia" w:ascii="Times New Roman" w:hAnsi="Times New Roman" w:eastAsia="方正仿宋_GBK" w:cs="Times New Roman"/>
          <w:sz w:val="28"/>
          <w:szCs w:val="24"/>
          <w:lang w:val="en-US" w:eastAsia="uk-UA" w:bidi="ar-SA"/>
        </w:rPr>
        <w:t>、办公用房物业管理费、公务用车运行维护费</w:t>
      </w:r>
      <w:r>
        <w:rPr>
          <w:rFonts w:hint="eastAsia" w:ascii="Times New Roman" w:hAnsi="Times New Roman" w:eastAsia="方正仿宋_GBK" w:cs="Times New Roman"/>
          <w:sz w:val="28"/>
          <w:szCs w:val="24"/>
          <w:lang w:val="en-US" w:eastAsia="zh-CN" w:bidi="ar-SA"/>
        </w:rPr>
        <w:t>、网络运行维护服务费</w:t>
      </w:r>
      <w:r>
        <w:rPr>
          <w:rFonts w:hint="eastAsia" w:ascii="Times New Roman" w:hAnsi="Times New Roman" w:eastAsia="方正仿宋_GBK" w:cs="Times New Roman"/>
          <w:sz w:val="28"/>
          <w:szCs w:val="24"/>
          <w:lang w:val="en-US" w:eastAsia="uk-UA" w:bidi="ar-SA"/>
        </w:rPr>
        <w:t>等日常运行支出。</w:t>
      </w:r>
    </w:p>
    <w:p>
      <w:pPr>
        <w:ind w:firstLine="560" w:firstLineChars="200"/>
        <w:rPr>
          <w:rFonts w:hint="default" w:ascii="Times New Roman" w:hAnsi="Times New Roman" w:eastAsia="方正仿宋_GBK" w:cs="Times New Roman"/>
          <w:sz w:val="28"/>
          <w:szCs w:val="24"/>
          <w:lang w:val="en-US" w:eastAsia="zh-CN" w:bidi="ar-SA"/>
        </w:rPr>
      </w:pP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w:t>
      </w:r>
      <w:r>
        <w:rPr>
          <w:rFonts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年，我部门“三公”经费预算安排</w:t>
      </w:r>
      <w:r>
        <w:rPr>
          <w:rFonts w:hint="eastAsia" w:eastAsia="方正仿宋_GBK" w:cs="Times New Roman"/>
          <w:sz w:val="28"/>
          <w:szCs w:val="24"/>
          <w:lang w:val="en-US" w:eastAsia="zh-CN" w:bidi="ar-SA"/>
        </w:rPr>
        <w:t>22.42</w:t>
      </w:r>
      <w:r>
        <w:rPr>
          <w:rFonts w:hint="eastAsia" w:ascii="Times New Roman" w:hAnsi="Times New Roman" w:eastAsia="方正仿宋_GBK" w:cs="Times New Roman"/>
          <w:sz w:val="28"/>
          <w:szCs w:val="24"/>
          <w:lang w:val="en-US" w:eastAsia="uk-UA" w:bidi="ar-SA"/>
        </w:rPr>
        <w:t>万元，其中：因公出国（境）费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万元；公务用车购置及运维费</w:t>
      </w:r>
      <w:r>
        <w:rPr>
          <w:rFonts w:hint="eastAsia" w:ascii="Times New Roman" w:hAnsi="Times New Roman" w:eastAsia="方正仿宋_GBK" w:cs="Times New Roman"/>
          <w:sz w:val="28"/>
          <w:szCs w:val="24"/>
          <w:lang w:val="en-US" w:eastAsia="zh-CN" w:bidi="ar-SA"/>
        </w:rPr>
        <w:t>21.38</w:t>
      </w:r>
      <w:r>
        <w:rPr>
          <w:rFonts w:hint="eastAsia" w:ascii="Times New Roman" w:hAnsi="Times New Roman" w:eastAsia="方正仿宋_GBK" w:cs="Times New Roman"/>
          <w:sz w:val="28"/>
          <w:szCs w:val="24"/>
          <w:lang w:val="en-US" w:eastAsia="uk-UA" w:bidi="ar-SA"/>
        </w:rPr>
        <w:t>万元（其中：公务用车购置费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万元，公务用车运行维护费</w:t>
      </w:r>
      <w:r>
        <w:rPr>
          <w:rFonts w:hint="eastAsia" w:ascii="Times New Roman" w:hAnsi="Times New Roman" w:eastAsia="方正仿宋_GBK" w:cs="Times New Roman"/>
          <w:sz w:val="28"/>
          <w:szCs w:val="24"/>
          <w:lang w:val="en-US" w:eastAsia="zh-CN" w:bidi="ar-SA"/>
        </w:rPr>
        <w:t>21.38</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公务用车</w:t>
      </w:r>
      <w:r>
        <w:rPr>
          <w:rFonts w:hint="eastAsia" w:ascii="Times New Roman" w:hAnsi="Times New Roman" w:eastAsia="方正仿宋_GBK" w:cs="Times New Roman"/>
          <w:sz w:val="28"/>
          <w:szCs w:val="24"/>
          <w:lang w:val="en-US" w:eastAsia="zh-CN" w:bidi="ar-SA"/>
        </w:rPr>
        <w:t>购置及</w:t>
      </w:r>
      <w:r>
        <w:rPr>
          <w:rFonts w:hint="eastAsia" w:ascii="Times New Roman" w:hAnsi="Times New Roman" w:eastAsia="方正仿宋_GBK" w:cs="Times New Roman"/>
          <w:sz w:val="28"/>
          <w:szCs w:val="24"/>
          <w:lang w:val="en-US" w:eastAsia="uk-UA" w:bidi="ar-SA"/>
        </w:rPr>
        <w:t>运维费</w:t>
      </w:r>
      <w:r>
        <w:rPr>
          <w:rFonts w:hint="eastAsia" w:ascii="Times New Roman" w:hAnsi="Times New Roman" w:eastAsia="方正仿宋_GBK" w:cs="Times New Roman"/>
          <w:sz w:val="28"/>
          <w:szCs w:val="24"/>
          <w:lang w:val="en-US" w:eastAsia="zh-CN" w:bidi="ar-SA"/>
        </w:rPr>
        <w:t>较</w:t>
      </w:r>
      <w:r>
        <w:rPr>
          <w:rFonts w:hint="eastAsia"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减少</w:t>
      </w:r>
      <w:r>
        <w:rPr>
          <w:rFonts w:hint="eastAsia" w:eastAsia="方正仿宋_GBK" w:cs="Times New Roman"/>
          <w:sz w:val="28"/>
          <w:szCs w:val="24"/>
          <w:lang w:val="en-US" w:eastAsia="zh-CN" w:bidi="ar-SA"/>
        </w:rPr>
        <w:t>29.12万元</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主要是公务用车购置费减少</w:t>
      </w:r>
      <w:r>
        <w:rPr>
          <w:rFonts w:hint="eastAsia" w:eastAsia="方正仿宋_GBK" w:cs="Times New Roman"/>
          <w:sz w:val="28"/>
          <w:szCs w:val="24"/>
          <w:lang w:val="en-US" w:eastAsia="zh-CN" w:bidi="ar-SA"/>
        </w:rPr>
        <w:t>及压减支出</w:t>
      </w:r>
      <w:r>
        <w:rPr>
          <w:rFonts w:hint="eastAsia"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1.04</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较2021</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减少</w:t>
      </w:r>
      <w:r>
        <w:rPr>
          <w:rFonts w:hint="eastAsia" w:eastAsia="方正仿宋_GBK" w:cs="Times New Roman"/>
          <w:sz w:val="28"/>
          <w:szCs w:val="24"/>
          <w:lang w:val="en-US" w:eastAsia="zh-CN" w:bidi="ar-SA"/>
        </w:rPr>
        <w:t>0.05万元</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主要是压减支出，</w:t>
      </w:r>
      <w:r>
        <w:rPr>
          <w:rFonts w:hint="eastAsia" w:ascii="Times New Roman" w:hAnsi="Times New Roman" w:eastAsia="方正仿宋_GBK" w:cs="Times New Roman"/>
          <w:sz w:val="28"/>
          <w:szCs w:val="24"/>
          <w:lang w:val="en-US" w:eastAsia="uk-UA" w:bidi="ar-SA"/>
        </w:rPr>
        <w:t>“三公”经费</w:t>
      </w:r>
      <w:r>
        <w:rPr>
          <w:rFonts w:hint="eastAsia" w:ascii="Times New Roman" w:hAnsi="Times New Roman" w:eastAsia="方正仿宋_GBK" w:cs="Times New Roman"/>
          <w:sz w:val="28"/>
          <w:szCs w:val="24"/>
          <w:lang w:val="en-US" w:eastAsia="zh-CN" w:bidi="ar-SA"/>
        </w:rPr>
        <w:t>较</w:t>
      </w:r>
      <w:r>
        <w:rPr>
          <w:rFonts w:hint="eastAsia"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减少</w:t>
      </w:r>
      <w:r>
        <w:rPr>
          <w:rFonts w:hint="eastAsia" w:eastAsia="方正仿宋_GBK" w:cs="Times New Roman"/>
          <w:sz w:val="28"/>
          <w:szCs w:val="24"/>
          <w:lang w:val="en-US" w:eastAsia="zh-CN" w:bidi="ar-SA"/>
        </w:rPr>
        <w:t>29.17万元</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主要是公务用车购置费减少</w:t>
      </w:r>
      <w:r>
        <w:rPr>
          <w:rFonts w:hint="eastAsia" w:eastAsia="方正仿宋_GBK" w:cs="Times New Roman"/>
          <w:sz w:val="28"/>
          <w:szCs w:val="24"/>
          <w:lang w:val="en-US" w:eastAsia="zh-CN" w:bidi="ar-SA"/>
        </w:rPr>
        <w:t>及压减支出</w:t>
      </w:r>
      <w:r>
        <w:rPr>
          <w:rFonts w:hint="eastAsia" w:ascii="Times New Roman" w:hAnsi="Times New Roman" w:eastAsia="方正仿宋_GBK" w:cs="Times New Roman"/>
          <w:sz w:val="28"/>
          <w:szCs w:val="24"/>
          <w:lang w:val="en-US" w:eastAsia="zh-CN" w:bidi="ar-SA"/>
        </w:rPr>
        <w:t>。</w:t>
      </w:r>
    </w:p>
    <w:p>
      <w:pPr>
        <w:numPr>
          <w:ilvl w:val="0"/>
          <w:numId w:val="0"/>
        </w:numPr>
        <w:spacing w:before="10" w:after="10" w:line="360" w:lineRule="auto"/>
        <w:ind w:left="640" w:leftChars="0"/>
        <w:jc w:val="left"/>
        <w:outlineLvl w:val="2"/>
        <w:rPr>
          <w:rFonts w:ascii="Times New Roman" w:hAnsi="Times New Roman" w:eastAsia="方正仿宋_GBK" w:cs="Times New Roman"/>
          <w:sz w:val="28"/>
          <w:szCs w:val="24"/>
          <w:lang w:val="en-US" w:eastAsia="uk-UA" w:bidi="ar-SA"/>
        </w:rPr>
      </w:pPr>
    </w:p>
    <w:p>
      <w:pPr>
        <w:pStyle w:val="22"/>
      </w:pPr>
    </w:p>
    <w:p>
      <w:p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通过深入开展救灾应急演练、强化应急管理信息化平台建设、完善全市应急体系和编制综合减灾规划等措施，初步形成统一领导、权责一致、权威高效的应急能力体系建设全面启动，自然灾害防治能力、重大灾害救助能力、应急救援能力建设明显见效;通过强化安全生产行政执法、宣传教育等措施，全年事故起数和死亡人数继续“双下降”，重特大事故得到有效遏制，全市安全生产形势持续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（一）加强安全生产执法监察检查。</w:t>
      </w:r>
    </w:p>
    <w:p>
      <w:pPr>
        <w:pStyle w:val="24"/>
      </w:pPr>
      <w:r>
        <w:t>绩效目标：通过督导检查全市安全生产，最大限度地发现、纠正、督促企业消除各类隐患，预防和减少事故的发生，确保全市安全生产形势持续稳定好转。</w:t>
      </w:r>
    </w:p>
    <w:p>
      <w:pPr>
        <w:pStyle w:val="24"/>
      </w:pPr>
      <w:r>
        <w:t>绩效指标：生产经营单位执法检查率≥90%，隐患整改率≥90%。</w:t>
      </w:r>
    </w:p>
    <w:p>
      <w:pPr>
        <w:pStyle w:val="24"/>
      </w:pPr>
      <w:r>
        <w:t xml:space="preserve">（二）加强重大危险源安全管理。 </w:t>
      </w:r>
    </w:p>
    <w:p>
      <w:pPr>
        <w:pStyle w:val="24"/>
      </w:pPr>
      <w:r>
        <w:t xml:space="preserve">绩效目标：科学准确进行重大危险源等级界定；有效开展监测数据的综合分析、数据发布工作；督促企业切实加强危险源监控，有效治理隐患，落实监管责任。 </w:t>
      </w:r>
    </w:p>
    <w:p>
      <w:pPr>
        <w:pStyle w:val="24"/>
      </w:pPr>
      <w:r>
        <w:t xml:space="preserve">绩效指标：重大危险源备案数达到12家，危险源点安全运行率到达100%。 </w:t>
      </w:r>
    </w:p>
    <w:p>
      <w:pPr>
        <w:pStyle w:val="24"/>
      </w:pPr>
      <w:r>
        <w:t xml:space="preserve">（三）构建和完善安全生产监管体系。 </w:t>
      </w:r>
    </w:p>
    <w:p>
      <w:pPr>
        <w:pStyle w:val="24"/>
      </w:pPr>
      <w:r>
        <w:t>绩效目标：基本建成全市安全生产隐患排查治理体系，提高生产经营单位建设标准，规范安全生产操作规程，提升特种作业人员安全操作能力，执法监察监察能力和水平，加大安全生产宣传和信息公开力度，提高全社会安全生产意识，提高事故调查工作的准确性、真实性和可靠性，组织完成安全生产责任目标考核，推进企业诚信和承诺制相关工作制度化、信息化。组织实施全市互联网+安全生产监管信息平台建设，实现全市安全监管信息互联。</w:t>
      </w:r>
    </w:p>
    <w:p>
      <w:pPr>
        <w:pStyle w:val="24"/>
      </w:pPr>
      <w:r>
        <w:t xml:space="preserve">绩效指标：安全事故有效处理率达到100%，安全生产标准化达标率达到100%。 </w:t>
      </w:r>
    </w:p>
    <w:p>
      <w:pPr>
        <w:pStyle w:val="24"/>
      </w:pPr>
      <w:r>
        <w:t>（四）加强高危重点行业、商贸及金属非金属矿山安全生产监管。</w:t>
      </w:r>
    </w:p>
    <w:p>
      <w:pPr>
        <w:pStyle w:val="24"/>
      </w:pPr>
      <w:r>
        <w:t xml:space="preserve">绩效目标：加强高危行业安全生产事故排查和事故隐患治理力度 </w:t>
      </w:r>
    </w:p>
    <w:p>
      <w:pPr>
        <w:pStyle w:val="24"/>
      </w:pPr>
      <w:r>
        <w:t>绩效指标： 隐患整改率≥90%，隐患排查率≥90%。</w:t>
      </w:r>
    </w:p>
    <w:p>
      <w:pPr>
        <w:pStyle w:val="24"/>
      </w:pPr>
      <w:r>
        <w:t>（五）组织应急预案编制及应急演练工作。</w:t>
      </w:r>
    </w:p>
    <w:p>
      <w:pPr>
        <w:pStyle w:val="24"/>
      </w:pPr>
      <w:r>
        <w:t>绩效目标：加强应急预案的管理与实施，及时组织锻炼应急救援队伍，切实提升应急处置能力。</w:t>
      </w:r>
    </w:p>
    <w:p>
      <w:pPr>
        <w:pStyle w:val="24"/>
      </w:pPr>
      <w:r>
        <w:t>绩效指标：应急预案演练完成率达到100%，应急演练次数≥3次。</w:t>
      </w:r>
    </w:p>
    <w:p>
      <w:pPr>
        <w:pStyle w:val="24"/>
      </w:pPr>
      <w:r>
        <w:t>（六）加强应急救援体系建设。</w:t>
      </w:r>
    </w:p>
    <w:p>
      <w:pPr>
        <w:pStyle w:val="24"/>
      </w:pPr>
      <w:r>
        <w:t>绩效目标：理顺应急救援工作机制，推动应急救援指挥中心和应急平台建设，提高突发事件的应急救援能力，保证政府及时采取应对措施，避免或降低事故及其危害程度。</w:t>
      </w:r>
    </w:p>
    <w:p>
      <w:pPr>
        <w:pStyle w:val="24"/>
      </w:pPr>
      <w:r>
        <w:t>绩效指标：应急救援中心设备有效运转率达到100%，应急救援装备、设备完好率达到100%。</w:t>
      </w:r>
    </w:p>
    <w:p>
      <w:pPr>
        <w:pStyle w:val="24"/>
      </w:pPr>
      <w:r>
        <w:t>（七）加强自然灾害救助工作。</w:t>
      </w:r>
    </w:p>
    <w:p>
      <w:pPr>
        <w:pStyle w:val="24"/>
      </w:pPr>
      <w:r>
        <w:t>绩效目标：提高公民避灾自救能力和防灾减灾意识，提升全市重大自然灾害防御能力；保证救灾应急预案科学性和实效性；完善省、市、县三级物资储备网络；推进以农房保险为主要险种的救灾保险，提高抗灾水平。组织民房恢复重建及灾民生活救助，保证受灾群众基本生活得到及时救助。保证款物安全及时有效，为重特大自然灾害救助提供有力支持。</w:t>
      </w:r>
    </w:p>
    <w:p>
      <w:pPr>
        <w:pStyle w:val="24"/>
      </w:pPr>
      <w:r>
        <w:t>绩效指标：避难场所建设完成率到达100%，自然灾害救助应急预案演练次数≥2次。</w:t>
      </w:r>
    </w:p>
    <w:p>
      <w:pPr>
        <w:pStyle w:val="24"/>
      </w:pPr>
      <w:r>
        <w:t>（八）完成地震监测工作。</w:t>
      </w:r>
    </w:p>
    <w:p>
      <w:pPr>
        <w:pStyle w:val="24"/>
      </w:pPr>
      <w:r>
        <w:t>绩效目标：通过地震监测台网的建设、运维、管理，使台网布局合理，运行稳定，管理完善，全面提升地震监测能力。</w:t>
      </w:r>
    </w:p>
    <w:p>
      <w:pPr>
        <w:pStyle w:val="24"/>
      </w:pPr>
      <w:r>
        <w:t>绩效指标：全市测震、强震、前兆三大台网总体运行率达到100%，地震信息网络技术系统运行率达到100%。</w:t>
      </w:r>
    </w:p>
    <w:p>
      <w:pPr>
        <w:pStyle w:val="24"/>
      </w:pPr>
      <w:r>
        <w:t>（九）组织指导全市防汛抗旱工作。</w:t>
      </w:r>
    </w:p>
    <w:p>
      <w:pPr>
        <w:pStyle w:val="24"/>
      </w:pPr>
      <w:r>
        <w:t>绩效目标：按照市防汛抗旱指挥部总体部署，制定全市防汛抗旱应急预案及演练；做好防汛物资准备工作，对物资补充、更换、维护、维修、试用工作；对物资库有效管理，制定蓄滞洪区居民转移安置演练预案并开展演练，对全市防汛抗旱工作人员进行培训。</w:t>
      </w:r>
    </w:p>
    <w:p>
      <w:pPr>
        <w:pStyle w:val="24"/>
      </w:pPr>
      <w:r>
        <w:t>绩效指标：完成防汛抗旱演练次数≥1次，防汛物资完好率到达100%，组织防汛培训次数≥1次。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三、工作保障措施 </w:t>
      </w:r>
    </w:p>
    <w:p>
      <w:pPr>
        <w:pStyle w:val="25"/>
      </w:pPr>
      <w:r>
        <w:t>（一）持续开展督导检查。最大限度地发现、纠正、督促企业消除各类隐患，预防和减少事故的发生，确保全市安全生产形势持续稳定好转。把握科学理念准确进行重大危险源等级界定；有效开展监测数据的综合分析、数据发布工作；督促企业切实加强危险源监控，有效治理隐患，落实监管责任。</w:t>
      </w:r>
    </w:p>
    <w:p>
      <w:pPr>
        <w:pStyle w:val="25"/>
      </w:pPr>
      <w:r>
        <w:t>（二）建成全市安全生产隐患排查治理体系。提高生产经营单位建设标准，规范安全生产操作规程，提升特种作业人员安全操作能力，执法监察监察能力和水平，</w:t>
      </w:r>
    </w:p>
    <w:p>
      <w:pPr>
        <w:pStyle w:val="25"/>
      </w:pPr>
      <w:r>
        <w:t>（三）加大安全生产宣传和信息公开力度。提高全社会安全生产意识，提高事故调查工作的准确性、真实性和可靠性，组织完成安全生产责任目标考核，推进企业诚信和承诺制相关工作制度化、信息化。</w:t>
      </w:r>
    </w:p>
    <w:p>
      <w:pPr>
        <w:pStyle w:val="25"/>
      </w:pPr>
      <w:r>
        <w:t>（四）实施全市互联网+安全生产监管信息平台建设。实现全市安全监管信息互联。加强高危行业安全生产事故排查和事故隐患治理力度。实现非煤矿山事故起数和死亡人数双下降，坚决遏制较大以上事故。</w:t>
      </w:r>
    </w:p>
    <w:p>
      <w:pPr>
        <w:pStyle w:val="25"/>
      </w:pPr>
      <w:r>
        <w:t>（五）加强应急预案的管理与实施。组织锻炼应急救援队伍，切实提升应急处置能力。理顺应急救援工作机制，推动应急救援指挥中心和应急平台建设，提高突发事件的应急救援能力，保证政府及时采取应对措施，避免或降低事故及其危害程度。推进全市抗震设防要求落实，高质量完成地震安全性评价报告评审。提高防震减灾宣传效果，提升社会公众防震避险意识和技能。各级各类地震应急预案及时修订更新，预案内容科学实用，预案管理科学规范。经常性地开展地震应急培训和演练。</w:t>
      </w:r>
    </w:p>
    <w:p>
      <w:pPr>
        <w:pStyle w:val="25"/>
      </w:pPr>
      <w:r>
        <w:t>（七）加强队伍建设、装备储备和应急保障能力建设，保障应急指挥技术系统正常运转，进一步提升地震应急处置能力。加强防汛抗旱应急预案的管理与实施，及时组织全市防汛队伍参演，切实提升防汛抗旱处置能力，确保防汛物资安全，正常使用。</w:t>
      </w:r>
    </w:p>
    <w:p>
      <w:pPr>
        <w:pStyle w:val="25"/>
      </w:pPr>
      <w:r>
        <w:t>（八）完善制度建设。制定完善预算绩效管理制度、资金管理办法、工作保障制度等，为全年预算绩效目标的实现奠定制度基础。</w:t>
      </w:r>
    </w:p>
    <w:p>
      <w:pPr>
        <w:pStyle w:val="25"/>
      </w:pPr>
      <w:r>
        <w:t>（九）加强支出管理。通过优化支出结构、编细编实预算、加快履行政府采购手续、尽快启动项目、及时支付资金、6 月底前细化代编预算、按规定及时下达资金等多种措施，确保支出进度达标。</w:t>
      </w:r>
    </w:p>
    <w:p>
      <w:pPr>
        <w:pStyle w:val="25"/>
      </w:pPr>
      <w:r>
        <w:t>（十）加强绩效运行监控。按要求开展绩效运行监控，发现问题及时采取措施，确保绩效目标如期保质实现。</w:t>
      </w:r>
    </w:p>
    <w:p>
      <w:pPr>
        <w:pStyle w:val="25"/>
      </w:pPr>
      <w:r>
        <w:t>（十一）做好绩效自评。按要求开展上年度部门预算绩效自评和重点评价工作，对评价中发现的问题及时整改，调整优化支出结构，提高财政资金使用效益。</w:t>
      </w:r>
    </w:p>
    <w:p>
      <w:pPr>
        <w:pStyle w:val="25"/>
      </w:pPr>
      <w:r>
        <w:t>（十二）规范财务资产管理。完善财务管理制度，严格审批程序，加强固定资产登记、使用和报废处置管理，做到支出合理，物尽其用。</w:t>
      </w:r>
    </w:p>
    <w:p>
      <w:pPr>
        <w:pStyle w:val="25"/>
      </w:pPr>
      <w:r>
        <w:t>（十三）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十四）加强宣传培训调研。加强人员培训，提高本部门职工业务素质；加强调研，提出优化财政资金配置、提高资金使用效益的意见意见；加大宣传力度，强化预算绩效管理意识，促进预算绩效管理水平进一步提升。</w:t>
      </w:r>
    </w:p>
    <w:p>
      <w:pPr>
        <w:pStyle w:val="25"/>
      </w:pP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en-US" w:eastAsia="zh-CN"/>
        </w:rPr>
        <w:t>预算项目</w:t>
      </w:r>
      <w:r>
        <w:rPr>
          <w:rFonts w:ascii="方正楷体_GBK" w:hAnsi="方正楷体_GBK" w:eastAsia="方正楷体_GBK" w:cs="方正楷体_GBK"/>
          <w:b/>
          <w:color w:val="000000"/>
          <w:sz w:val="32"/>
        </w:rPr>
        <w:t>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、关于提前下达2022年自然灾害救助专项资金预算指标的通知（冀财建[2021]235号）绩效目标表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1.通过为12.7239万农户提供自然灾害保险补助资金，降低农户受灾后的经济损失，有效保障受灾群众的日常生活。</w:t>
            </w:r>
          </w:p>
          <w:p>
            <w:pPr>
              <w:pStyle w:val="14"/>
            </w:pPr>
          </w:p>
          <w:p>
            <w:pPr>
              <w:pStyle w:val="14"/>
            </w:pPr>
            <w:r>
              <w:t>2.通过协调保险公司为受灾农户进行理赔，使保险赔率达到100%。</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参保时间</w:t>
            </w:r>
          </w:p>
        </w:tc>
        <w:tc>
          <w:tcPr>
            <w:tcW w:w="2835" w:type="dxa"/>
            <w:vAlign w:val="center"/>
          </w:tcPr>
          <w:p>
            <w:pPr>
              <w:pStyle w:val="14"/>
            </w:pPr>
            <w:r>
              <w:t>为参保农户上保险时间</w:t>
            </w:r>
          </w:p>
        </w:tc>
        <w:tc>
          <w:tcPr>
            <w:tcW w:w="2551" w:type="dxa"/>
            <w:vAlign w:val="center"/>
          </w:tcPr>
          <w:p>
            <w:pPr>
              <w:pStyle w:val="14"/>
            </w:pPr>
            <w:r>
              <w:t>5月底之前</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参加农村保险户数</w:t>
            </w:r>
          </w:p>
        </w:tc>
        <w:tc>
          <w:tcPr>
            <w:tcW w:w="2835" w:type="dxa"/>
            <w:vAlign w:val="center"/>
          </w:tcPr>
          <w:p>
            <w:pPr>
              <w:pStyle w:val="14"/>
            </w:pPr>
            <w:r>
              <w:t>参加农村住房保险的户数</w:t>
            </w:r>
          </w:p>
        </w:tc>
        <w:tc>
          <w:tcPr>
            <w:tcW w:w="2551" w:type="dxa"/>
            <w:vAlign w:val="center"/>
          </w:tcPr>
          <w:p>
            <w:pPr>
              <w:pStyle w:val="14"/>
            </w:pPr>
            <w:r>
              <w:t>≥12.72万户</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参保户数的准确性</w:t>
            </w:r>
          </w:p>
        </w:tc>
        <w:tc>
          <w:tcPr>
            <w:tcW w:w="2835" w:type="dxa"/>
            <w:vAlign w:val="center"/>
          </w:tcPr>
          <w:p>
            <w:pPr>
              <w:pStyle w:val="14"/>
            </w:pPr>
            <w:r>
              <w:t>参保户数的准确性</w:t>
            </w:r>
          </w:p>
        </w:tc>
        <w:tc>
          <w:tcPr>
            <w:tcW w:w="2551" w:type="dxa"/>
            <w:vAlign w:val="center"/>
          </w:tcPr>
          <w:p>
            <w:pPr>
              <w:pStyle w:val="14"/>
            </w:pPr>
            <w:r>
              <w:t>100%</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为农户提供保险补助的金额</w:t>
            </w:r>
          </w:p>
        </w:tc>
        <w:tc>
          <w:tcPr>
            <w:tcW w:w="2551" w:type="dxa"/>
            <w:vAlign w:val="center"/>
          </w:tcPr>
          <w:p>
            <w:pPr>
              <w:pStyle w:val="14"/>
            </w:pPr>
            <w:r>
              <w:t>5元</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物质保障受灾群众人数覆盖率</w:t>
            </w:r>
          </w:p>
        </w:tc>
        <w:tc>
          <w:tcPr>
            <w:tcW w:w="2835" w:type="dxa"/>
            <w:vAlign w:val="center"/>
          </w:tcPr>
          <w:p>
            <w:pPr>
              <w:pStyle w:val="14"/>
            </w:pPr>
            <w:r>
              <w:t>享受物资保障额受灾群众量占受灾群众总数的比率</w:t>
            </w:r>
          </w:p>
        </w:tc>
        <w:tc>
          <w:tcPr>
            <w:tcW w:w="2551" w:type="dxa"/>
            <w:vAlign w:val="center"/>
          </w:tcPr>
          <w:p>
            <w:pPr>
              <w:pStyle w:val="14"/>
            </w:pPr>
            <w:r>
              <w:t>100%</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理赔对象满意度</w:t>
            </w:r>
          </w:p>
        </w:tc>
        <w:tc>
          <w:tcPr>
            <w:tcW w:w="2835" w:type="dxa"/>
            <w:vAlign w:val="center"/>
          </w:tcPr>
          <w:p>
            <w:pPr>
              <w:pStyle w:val="14"/>
            </w:pPr>
            <w:r>
              <w:t>问卷调查中，满意和较满意的救助对象数量占调研对象总数的比率</w:t>
            </w:r>
          </w:p>
        </w:tc>
        <w:tc>
          <w:tcPr>
            <w:tcW w:w="2551" w:type="dxa"/>
            <w:vAlign w:val="center"/>
          </w:tcPr>
          <w:p>
            <w:pPr>
              <w:pStyle w:val="14"/>
            </w:pPr>
            <w:r>
              <w:t>≥95%</w:t>
            </w:r>
          </w:p>
        </w:tc>
        <w:tc>
          <w:tcPr>
            <w:tcW w:w="2268" w:type="dxa"/>
            <w:vAlign w:val="center"/>
          </w:tcPr>
          <w:p>
            <w:pPr>
              <w:pStyle w:val="14"/>
            </w:pPr>
            <w:r>
              <w:t>调查问卷</w:t>
            </w:r>
          </w:p>
        </w:tc>
      </w:tr>
    </w:tbl>
    <w:p>
      <w:pPr>
        <w:sectPr>
          <w:pgSz w:w="11900" w:h="16840"/>
          <w:pgMar w:top="1020" w:right="1134" w:bottom="1020" w:left="1361"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2、关于下达2021年第二批新型基础设施建设专项（应急通信领域）中央基建投资预算（拨款）的通知（冀财建[2021]171号）绩效目标表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1.提升重大活动应急通信保障能力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购置通信设备数量</w:t>
            </w:r>
          </w:p>
        </w:tc>
        <w:tc>
          <w:tcPr>
            <w:tcW w:w="2835" w:type="dxa"/>
            <w:vAlign w:val="center"/>
          </w:tcPr>
          <w:p>
            <w:pPr>
              <w:pStyle w:val="14"/>
            </w:pPr>
            <w:r>
              <w:t>购置通信设备数量</w:t>
            </w:r>
          </w:p>
        </w:tc>
        <w:tc>
          <w:tcPr>
            <w:tcW w:w="2551" w:type="dxa"/>
            <w:vAlign w:val="center"/>
          </w:tcPr>
          <w:p>
            <w:pPr>
              <w:pStyle w:val="14"/>
            </w:pPr>
            <w:r>
              <w:t>≥1套</w:t>
            </w:r>
          </w:p>
        </w:tc>
        <w:tc>
          <w:tcPr>
            <w:tcW w:w="2268" w:type="dxa"/>
            <w:vAlign w:val="center"/>
          </w:tcPr>
          <w:p>
            <w:pPr>
              <w:pStyle w:val="14"/>
            </w:pPr>
            <w:r>
              <w:t>冀财建[2021]17号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通信设备质量要求</w:t>
            </w:r>
          </w:p>
        </w:tc>
        <w:tc>
          <w:tcPr>
            <w:tcW w:w="2835" w:type="dxa"/>
            <w:vAlign w:val="center"/>
          </w:tcPr>
          <w:p>
            <w:pPr>
              <w:pStyle w:val="14"/>
            </w:pPr>
            <w:r>
              <w:t>通信设备质量要求</w:t>
            </w:r>
          </w:p>
        </w:tc>
        <w:tc>
          <w:tcPr>
            <w:tcW w:w="2551" w:type="dxa"/>
            <w:vAlign w:val="center"/>
          </w:tcPr>
          <w:p>
            <w:pPr>
              <w:pStyle w:val="14"/>
            </w:pPr>
            <w:r>
              <w:t>符合要求</w:t>
            </w:r>
          </w:p>
        </w:tc>
        <w:tc>
          <w:tcPr>
            <w:tcW w:w="2268" w:type="dxa"/>
            <w:vAlign w:val="center"/>
          </w:tcPr>
          <w:p>
            <w:pPr>
              <w:pStyle w:val="14"/>
            </w:pPr>
            <w:r>
              <w:t>冀财建[2021]17号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购置时间</w:t>
            </w:r>
          </w:p>
        </w:tc>
        <w:tc>
          <w:tcPr>
            <w:tcW w:w="2835" w:type="dxa"/>
            <w:vAlign w:val="center"/>
          </w:tcPr>
          <w:p>
            <w:pPr>
              <w:pStyle w:val="14"/>
            </w:pPr>
            <w:r>
              <w:t>购置时间</w:t>
            </w:r>
          </w:p>
        </w:tc>
        <w:tc>
          <w:tcPr>
            <w:tcW w:w="2551" w:type="dxa"/>
            <w:vAlign w:val="center"/>
          </w:tcPr>
          <w:p>
            <w:pPr>
              <w:pStyle w:val="14"/>
            </w:pPr>
            <w:r>
              <w:t>≤6月份</w:t>
            </w:r>
          </w:p>
        </w:tc>
        <w:tc>
          <w:tcPr>
            <w:tcW w:w="2268" w:type="dxa"/>
            <w:vAlign w:val="center"/>
          </w:tcPr>
          <w:p>
            <w:pPr>
              <w:pStyle w:val="14"/>
            </w:pPr>
            <w:r>
              <w:t>冀财建[2021]17号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&lt;1.42万元</w:t>
            </w:r>
          </w:p>
        </w:tc>
        <w:tc>
          <w:tcPr>
            <w:tcW w:w="2268" w:type="dxa"/>
            <w:vAlign w:val="center"/>
          </w:tcPr>
          <w:p>
            <w:pPr>
              <w:pStyle w:val="14"/>
            </w:pPr>
            <w:r>
              <w:t>冀财建[2021]17号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应急通信能力提升</w:t>
            </w:r>
          </w:p>
        </w:tc>
        <w:tc>
          <w:tcPr>
            <w:tcW w:w="2835" w:type="dxa"/>
            <w:vAlign w:val="center"/>
          </w:tcPr>
          <w:p>
            <w:pPr>
              <w:pStyle w:val="14"/>
            </w:pPr>
            <w:r>
              <w:t>应急通信能力提升</w:t>
            </w:r>
          </w:p>
        </w:tc>
        <w:tc>
          <w:tcPr>
            <w:tcW w:w="2551" w:type="dxa"/>
            <w:vAlign w:val="center"/>
          </w:tcPr>
          <w:p>
            <w:pPr>
              <w:pStyle w:val="14"/>
            </w:pPr>
            <w:r>
              <w:t>得到提升</w:t>
            </w:r>
          </w:p>
        </w:tc>
        <w:tc>
          <w:tcPr>
            <w:tcW w:w="2268" w:type="dxa"/>
            <w:vAlign w:val="center"/>
          </w:tcPr>
          <w:p>
            <w:pPr>
              <w:pStyle w:val="14"/>
            </w:pPr>
            <w:r>
              <w:t>冀财建[2021]17号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设备使用满意度</w:t>
            </w:r>
          </w:p>
        </w:tc>
        <w:tc>
          <w:tcPr>
            <w:tcW w:w="2835" w:type="dxa"/>
            <w:vAlign w:val="center"/>
          </w:tcPr>
          <w:p>
            <w:pPr>
              <w:pStyle w:val="14"/>
            </w:pPr>
            <w:r>
              <w:t>设备使用满意度</w:t>
            </w:r>
          </w:p>
        </w:tc>
        <w:tc>
          <w:tcPr>
            <w:tcW w:w="2551" w:type="dxa"/>
            <w:vAlign w:val="center"/>
          </w:tcPr>
          <w:p>
            <w:pPr>
              <w:pStyle w:val="14"/>
            </w:pPr>
            <w:r>
              <w:t>≥95%</w:t>
            </w:r>
          </w:p>
        </w:tc>
        <w:tc>
          <w:tcPr>
            <w:tcW w:w="2268" w:type="dxa"/>
            <w:vAlign w:val="center"/>
          </w:tcPr>
          <w:p>
            <w:pPr>
              <w:pStyle w:val="14"/>
            </w:pPr>
            <w:r>
              <w:t>调查问卷</w:t>
            </w:r>
          </w:p>
        </w:tc>
      </w:tr>
    </w:tbl>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、关于下达2021年自然灾害防治体系建设补助资金预算（全国自然灾害综合风险普查经费）的通知 （冀财建[2021]139号）绩效目标表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1.进行普查清查，摸清普查对象的数量、分布和规模，准确界定普查对象的普查方式及填报单位。</w:t>
            </w:r>
            <w:r>
              <w:tab/>
            </w:r>
            <w:r>
              <w:tab/>
            </w:r>
            <w:r>
              <w:tab/>
            </w:r>
            <w:r>
              <w:tab/>
            </w:r>
            <w:r>
              <w:tab/>
            </w:r>
            <w:r>
              <w:tab/>
            </w:r>
          </w:p>
          <w:p>
            <w:pPr>
              <w:pStyle w:val="14"/>
            </w:pPr>
          </w:p>
          <w:p>
            <w:pPr>
              <w:pStyle w:val="14"/>
            </w:pPr>
            <w:r>
              <w:t>2.开展全面的调查工作，汇总形成调查数据。</w:t>
            </w:r>
            <w:r>
              <w:tab/>
            </w:r>
            <w:r>
              <w:tab/>
            </w:r>
            <w:r>
              <w:tab/>
            </w:r>
            <w:r>
              <w:tab/>
            </w:r>
            <w:r>
              <w:tab/>
            </w:r>
            <w:r>
              <w:tab/>
            </w:r>
          </w:p>
          <w:p>
            <w:pPr>
              <w:pStyle w:val="14"/>
            </w:pPr>
          </w:p>
          <w:p>
            <w:pPr>
              <w:pStyle w:val="14"/>
            </w:pPr>
            <w:r>
              <w:t>3.开展好普查调查阶段的宣传工作。</w:t>
            </w:r>
            <w:r>
              <w:tab/>
            </w:r>
            <w:r>
              <w:tab/>
            </w:r>
            <w:r>
              <w:tab/>
            </w:r>
            <w:r>
              <w:tab/>
            </w:r>
            <w:r>
              <w:tab/>
            </w:r>
            <w:r>
              <w:tab/>
            </w:r>
          </w:p>
          <w:p>
            <w:pPr>
              <w:pStyle w:val="14"/>
            </w:pPr>
          </w:p>
          <w:p>
            <w:pPr>
              <w:pStyle w:val="14"/>
            </w:pPr>
            <w:r>
              <w:t>4.针对调查对象和内容，开展调查数据质检、汇交等重点工作。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清查、调查任务覆盖数量</w:t>
            </w:r>
          </w:p>
        </w:tc>
        <w:tc>
          <w:tcPr>
            <w:tcW w:w="2835" w:type="dxa"/>
            <w:vAlign w:val="center"/>
          </w:tcPr>
          <w:p>
            <w:pPr>
              <w:pStyle w:val="14"/>
            </w:pPr>
            <w:r>
              <w:t>清查、调查任务覆盖数量</w:t>
            </w:r>
          </w:p>
        </w:tc>
        <w:tc>
          <w:tcPr>
            <w:tcW w:w="2551" w:type="dxa"/>
            <w:vAlign w:val="center"/>
          </w:tcPr>
          <w:p>
            <w:pPr>
              <w:pStyle w:val="14"/>
            </w:pPr>
            <w:r>
              <w:t>≥5每个乡镇</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普查对象清查覆盖率</w:t>
            </w:r>
          </w:p>
        </w:tc>
        <w:tc>
          <w:tcPr>
            <w:tcW w:w="2835" w:type="dxa"/>
            <w:vAlign w:val="center"/>
          </w:tcPr>
          <w:p>
            <w:pPr>
              <w:pStyle w:val="14"/>
            </w:pPr>
            <w:r>
              <w:t>普查对象清查覆盖率</w:t>
            </w:r>
          </w:p>
        </w:tc>
        <w:tc>
          <w:tcPr>
            <w:tcW w:w="2551" w:type="dxa"/>
            <w:vAlign w:val="center"/>
          </w:tcPr>
          <w:p>
            <w:pPr>
              <w:pStyle w:val="14"/>
            </w:pPr>
            <w:r>
              <w:t>≥95%</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调查任务完成率</w:t>
            </w:r>
          </w:p>
        </w:tc>
        <w:tc>
          <w:tcPr>
            <w:tcW w:w="2835" w:type="dxa"/>
            <w:vAlign w:val="center"/>
          </w:tcPr>
          <w:p>
            <w:pPr>
              <w:pStyle w:val="14"/>
            </w:pPr>
            <w:r>
              <w:t>调查任务完成率</w:t>
            </w:r>
          </w:p>
        </w:tc>
        <w:tc>
          <w:tcPr>
            <w:tcW w:w="2551" w:type="dxa"/>
            <w:vAlign w:val="center"/>
          </w:tcPr>
          <w:p>
            <w:pPr>
              <w:pStyle w:val="14"/>
            </w:pPr>
            <w:r>
              <w:t>≥85%</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普查宣传工作覆盖率</w:t>
            </w:r>
          </w:p>
        </w:tc>
        <w:tc>
          <w:tcPr>
            <w:tcW w:w="2835" w:type="dxa"/>
            <w:vAlign w:val="center"/>
          </w:tcPr>
          <w:p>
            <w:pPr>
              <w:pStyle w:val="14"/>
            </w:pPr>
            <w:r>
              <w:t>普查宣传工作覆盖率</w:t>
            </w:r>
          </w:p>
        </w:tc>
        <w:tc>
          <w:tcPr>
            <w:tcW w:w="2551" w:type="dxa"/>
            <w:vAlign w:val="center"/>
          </w:tcPr>
          <w:p>
            <w:pPr>
              <w:pStyle w:val="14"/>
            </w:pPr>
            <w:r>
              <w:t>100%</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普查人员参与培训的覆盖率</w:t>
            </w:r>
          </w:p>
        </w:tc>
        <w:tc>
          <w:tcPr>
            <w:tcW w:w="2835" w:type="dxa"/>
            <w:vAlign w:val="center"/>
          </w:tcPr>
          <w:p>
            <w:pPr>
              <w:pStyle w:val="14"/>
            </w:pPr>
            <w:r>
              <w:t>普查人员参与培训的覆盖率</w:t>
            </w:r>
          </w:p>
        </w:tc>
        <w:tc>
          <w:tcPr>
            <w:tcW w:w="2551" w:type="dxa"/>
            <w:vAlign w:val="center"/>
          </w:tcPr>
          <w:p>
            <w:pPr>
              <w:pStyle w:val="14"/>
            </w:pPr>
            <w:r>
              <w:t>≥95%</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县级普查数据成果质检核查通过率</w:t>
            </w:r>
          </w:p>
        </w:tc>
        <w:tc>
          <w:tcPr>
            <w:tcW w:w="2835" w:type="dxa"/>
            <w:vAlign w:val="center"/>
          </w:tcPr>
          <w:p>
            <w:pPr>
              <w:pStyle w:val="14"/>
            </w:pPr>
            <w:r>
              <w:t>县级普查数据成果质检核查通过率</w:t>
            </w:r>
          </w:p>
        </w:tc>
        <w:tc>
          <w:tcPr>
            <w:tcW w:w="2551" w:type="dxa"/>
            <w:vAlign w:val="center"/>
          </w:tcPr>
          <w:p>
            <w:pPr>
              <w:pStyle w:val="14"/>
            </w:pPr>
            <w:r>
              <w:t>≥95%</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进度偏差率</w:t>
            </w:r>
          </w:p>
        </w:tc>
        <w:tc>
          <w:tcPr>
            <w:tcW w:w="2835" w:type="dxa"/>
            <w:vAlign w:val="center"/>
          </w:tcPr>
          <w:p>
            <w:pPr>
              <w:pStyle w:val="14"/>
            </w:pPr>
            <w:r>
              <w:t>进度偏差率</w:t>
            </w:r>
          </w:p>
        </w:tc>
        <w:tc>
          <w:tcPr>
            <w:tcW w:w="2551" w:type="dxa"/>
            <w:vAlign w:val="center"/>
          </w:tcPr>
          <w:p>
            <w:pPr>
              <w:pStyle w:val="14"/>
            </w:pPr>
            <w:r>
              <w:t>偏差1个月以内</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成本控制有效性</w:t>
            </w:r>
          </w:p>
        </w:tc>
        <w:tc>
          <w:tcPr>
            <w:tcW w:w="2835" w:type="dxa"/>
            <w:vAlign w:val="center"/>
          </w:tcPr>
          <w:p>
            <w:pPr>
              <w:pStyle w:val="14"/>
            </w:pPr>
            <w:r>
              <w:t>成本控制有效性</w:t>
            </w:r>
          </w:p>
        </w:tc>
        <w:tc>
          <w:tcPr>
            <w:tcW w:w="2551" w:type="dxa"/>
            <w:vAlign w:val="center"/>
          </w:tcPr>
          <w:p>
            <w:pPr>
              <w:pStyle w:val="14"/>
            </w:pPr>
            <w:r>
              <w:t>有效</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普查成果为自然灾害防治、应急管理等工作提供科学依据，减轻灾害损失</w:t>
            </w:r>
          </w:p>
        </w:tc>
        <w:tc>
          <w:tcPr>
            <w:tcW w:w="2835" w:type="dxa"/>
            <w:vAlign w:val="center"/>
          </w:tcPr>
          <w:p>
            <w:pPr>
              <w:pStyle w:val="14"/>
            </w:pPr>
            <w:r>
              <w:t>普查成果为自然灾害防治、应急管理等工作提供科学依据，减轻灾害损失</w:t>
            </w:r>
          </w:p>
        </w:tc>
        <w:tc>
          <w:tcPr>
            <w:tcW w:w="2551" w:type="dxa"/>
            <w:vAlign w:val="center"/>
          </w:tcPr>
          <w:p>
            <w:pPr>
              <w:pStyle w:val="14"/>
            </w:pPr>
            <w:r>
              <w:t>效果显著</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数据共享涉及部门数量</w:t>
            </w:r>
          </w:p>
        </w:tc>
        <w:tc>
          <w:tcPr>
            <w:tcW w:w="2835" w:type="dxa"/>
            <w:vAlign w:val="center"/>
          </w:tcPr>
          <w:p>
            <w:pPr>
              <w:pStyle w:val="14"/>
            </w:pPr>
            <w:r>
              <w:t>数据共享涉及部门数量</w:t>
            </w:r>
          </w:p>
        </w:tc>
        <w:tc>
          <w:tcPr>
            <w:tcW w:w="2551" w:type="dxa"/>
            <w:vAlign w:val="center"/>
          </w:tcPr>
          <w:p>
            <w:pPr>
              <w:pStyle w:val="14"/>
            </w:pPr>
            <w:r>
              <w:t>&lt;6个</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普查工作对提升基层自然灾害防治能力的作用</w:t>
            </w:r>
          </w:p>
        </w:tc>
        <w:tc>
          <w:tcPr>
            <w:tcW w:w="2835" w:type="dxa"/>
            <w:vAlign w:val="center"/>
          </w:tcPr>
          <w:p>
            <w:pPr>
              <w:pStyle w:val="14"/>
            </w:pPr>
            <w:r>
              <w:t>普查工作对提升基层自然灾害防治能力的作用</w:t>
            </w:r>
          </w:p>
        </w:tc>
        <w:tc>
          <w:tcPr>
            <w:tcW w:w="2551" w:type="dxa"/>
            <w:vAlign w:val="center"/>
          </w:tcPr>
          <w:p>
            <w:pPr>
              <w:pStyle w:val="14"/>
            </w:pPr>
            <w:r>
              <w:t>效果显著</w:t>
            </w:r>
          </w:p>
        </w:tc>
        <w:tc>
          <w:tcPr>
            <w:tcW w:w="2268" w:type="dxa"/>
            <w:vAlign w:val="center"/>
          </w:tcPr>
          <w:p>
            <w:pPr>
              <w:pStyle w:val="14"/>
            </w:pPr>
            <w:r>
              <w:t>冀财建[2021]139号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普查行业部门及调查覆盖单位满意度</w:t>
            </w:r>
          </w:p>
        </w:tc>
        <w:tc>
          <w:tcPr>
            <w:tcW w:w="2835" w:type="dxa"/>
            <w:vAlign w:val="center"/>
          </w:tcPr>
          <w:p>
            <w:pPr>
              <w:pStyle w:val="14"/>
            </w:pPr>
            <w:r>
              <w:t>普查行业部门及调查覆盖单位满意度</w:t>
            </w:r>
          </w:p>
        </w:tc>
        <w:tc>
          <w:tcPr>
            <w:tcW w:w="2551" w:type="dxa"/>
            <w:vAlign w:val="center"/>
          </w:tcPr>
          <w:p>
            <w:pPr>
              <w:pStyle w:val="14"/>
            </w:pPr>
            <w:r>
              <w:t>≥90%</w:t>
            </w:r>
          </w:p>
        </w:tc>
        <w:tc>
          <w:tcPr>
            <w:tcW w:w="2268" w:type="dxa"/>
            <w:vAlign w:val="center"/>
          </w:tcPr>
          <w:p>
            <w:pPr>
              <w:pStyle w:val="14"/>
            </w:pPr>
            <w:r>
              <w:t>调查问卷</w:t>
            </w:r>
          </w:p>
        </w:tc>
      </w:tr>
    </w:tbl>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left="640" w:leftChars="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、安全监察监管专项经费绩效目标表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1.为我单位招聘的50名合同制人员按时发放工资并按照一定比例缴纳各类保险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发放工资和缴纳保险的人数</w:t>
            </w:r>
          </w:p>
        </w:tc>
        <w:tc>
          <w:tcPr>
            <w:tcW w:w="2551" w:type="dxa"/>
            <w:vAlign w:val="center"/>
          </w:tcPr>
          <w:p>
            <w:pPr>
              <w:pStyle w:val="14"/>
            </w:pPr>
            <w:r>
              <w:t>50人</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按照规定要求足额发放</w:t>
            </w:r>
          </w:p>
        </w:tc>
        <w:tc>
          <w:tcPr>
            <w:tcW w:w="2835" w:type="dxa"/>
            <w:vAlign w:val="center"/>
          </w:tcPr>
          <w:p>
            <w:pPr>
              <w:pStyle w:val="14"/>
            </w:pPr>
            <w:r>
              <w:t>按照规定要求足额发放</w:t>
            </w:r>
          </w:p>
        </w:tc>
        <w:tc>
          <w:tcPr>
            <w:tcW w:w="2551" w:type="dxa"/>
            <w:vAlign w:val="center"/>
          </w:tcPr>
          <w:p>
            <w:pPr>
              <w:pStyle w:val="14"/>
            </w:pPr>
            <w:r>
              <w:t>符合规定</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发放工资和缴纳保险的时间</w:t>
            </w:r>
          </w:p>
        </w:tc>
        <w:tc>
          <w:tcPr>
            <w:tcW w:w="2551" w:type="dxa"/>
            <w:vAlign w:val="center"/>
          </w:tcPr>
          <w:p>
            <w:pPr>
              <w:pStyle w:val="14"/>
            </w:pPr>
            <w:r>
              <w:t>每月10日前发放</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发放工资和缴纳保险的金额</w:t>
            </w:r>
          </w:p>
        </w:tc>
        <w:tc>
          <w:tcPr>
            <w:tcW w:w="2551" w:type="dxa"/>
            <w:vAlign w:val="center"/>
          </w:tcPr>
          <w:p>
            <w:pPr>
              <w:pStyle w:val="14"/>
            </w:pPr>
            <w:r>
              <w:t>不超过规定标准</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保障应急管理工作需求</w:t>
            </w:r>
          </w:p>
        </w:tc>
        <w:tc>
          <w:tcPr>
            <w:tcW w:w="2835" w:type="dxa"/>
            <w:vAlign w:val="center"/>
          </w:tcPr>
          <w:p>
            <w:pPr>
              <w:pStyle w:val="14"/>
            </w:pPr>
            <w:r>
              <w:t>保障应急管理工作需求</w:t>
            </w:r>
          </w:p>
        </w:tc>
        <w:tc>
          <w:tcPr>
            <w:tcW w:w="2551" w:type="dxa"/>
            <w:vAlign w:val="center"/>
          </w:tcPr>
          <w:p>
            <w:pPr>
              <w:pStyle w:val="14"/>
            </w:pPr>
            <w:r>
              <w:t>保障应急管理工作</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相应岗位管理人员满意度</w:t>
            </w:r>
          </w:p>
        </w:tc>
        <w:tc>
          <w:tcPr>
            <w:tcW w:w="2835" w:type="dxa"/>
            <w:vAlign w:val="center"/>
          </w:tcPr>
          <w:p>
            <w:pPr>
              <w:pStyle w:val="14"/>
            </w:pPr>
            <w:r>
              <w:t>相应岗位管理人员满意度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、安全生产执法监管经费绩效目标表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执法检查的次数达到30次，执法检查企业的家数达到300家，为开展安全生产执法监管提供必要的后勤保障，印制各类执法文书，制作各类安全管理制度展牌展板，对网络系统及执法装备的维修维护。资金按实际发生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执法检查企业数</w:t>
            </w:r>
          </w:p>
        </w:tc>
        <w:tc>
          <w:tcPr>
            <w:tcW w:w="2835" w:type="dxa"/>
            <w:vAlign w:val="center"/>
          </w:tcPr>
          <w:p>
            <w:pPr>
              <w:pStyle w:val="14"/>
            </w:pPr>
            <w:r>
              <w:t>执法检查企业的家数</w:t>
            </w:r>
          </w:p>
        </w:tc>
        <w:tc>
          <w:tcPr>
            <w:tcW w:w="2551" w:type="dxa"/>
            <w:vAlign w:val="center"/>
          </w:tcPr>
          <w:p>
            <w:pPr>
              <w:pStyle w:val="14"/>
            </w:pPr>
            <w:r>
              <w:t>≥300家</w:t>
            </w:r>
          </w:p>
        </w:tc>
        <w:tc>
          <w:tcPr>
            <w:tcW w:w="2268" w:type="dxa"/>
            <w:vAlign w:val="center"/>
          </w:tcPr>
          <w:p>
            <w:pPr>
              <w:pStyle w:val="14"/>
            </w:pPr>
            <w: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11月底</w:t>
            </w:r>
          </w:p>
        </w:tc>
        <w:tc>
          <w:tcPr>
            <w:tcW w:w="2268" w:type="dxa"/>
            <w:vAlign w:val="center"/>
          </w:tcPr>
          <w:p>
            <w:pPr>
              <w:pStyle w:val="14"/>
            </w:pPr>
            <w: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≤35万</w:t>
            </w:r>
          </w:p>
        </w:tc>
        <w:tc>
          <w:tcPr>
            <w:tcW w:w="2268" w:type="dxa"/>
            <w:vAlign w:val="center"/>
          </w:tcPr>
          <w:p>
            <w:pPr>
              <w:pStyle w:val="14"/>
            </w:pPr>
            <w: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隐患整改率</w:t>
            </w:r>
          </w:p>
        </w:tc>
        <w:tc>
          <w:tcPr>
            <w:tcW w:w="2835" w:type="dxa"/>
            <w:vAlign w:val="center"/>
          </w:tcPr>
          <w:p>
            <w:pPr>
              <w:pStyle w:val="14"/>
            </w:pPr>
            <w:r>
              <w:t>完成整改的问题隐患占问题隐患总数的比率</w:t>
            </w:r>
          </w:p>
        </w:tc>
        <w:tc>
          <w:tcPr>
            <w:tcW w:w="2551" w:type="dxa"/>
            <w:vAlign w:val="center"/>
          </w:tcPr>
          <w:p>
            <w:pPr>
              <w:pStyle w:val="14"/>
            </w:pPr>
            <w:r>
              <w:t>≥90%</w:t>
            </w:r>
          </w:p>
        </w:tc>
        <w:tc>
          <w:tcPr>
            <w:tcW w:w="2268" w:type="dxa"/>
            <w:vAlign w:val="center"/>
          </w:tcPr>
          <w:p>
            <w:pPr>
              <w:pStyle w:val="14"/>
            </w:pPr>
            <w: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开展执法检查的次数</w:t>
            </w:r>
          </w:p>
        </w:tc>
        <w:tc>
          <w:tcPr>
            <w:tcW w:w="2835" w:type="dxa"/>
            <w:vAlign w:val="center"/>
          </w:tcPr>
          <w:p>
            <w:pPr>
              <w:pStyle w:val="14"/>
            </w:pPr>
            <w:r>
              <w:t>开展执法检查的次数</w:t>
            </w:r>
          </w:p>
        </w:tc>
        <w:tc>
          <w:tcPr>
            <w:tcW w:w="2551" w:type="dxa"/>
            <w:vAlign w:val="center"/>
          </w:tcPr>
          <w:p>
            <w:pPr>
              <w:pStyle w:val="14"/>
            </w:pPr>
            <w:r>
              <w:t>≥30次</w:t>
            </w:r>
          </w:p>
        </w:tc>
        <w:tc>
          <w:tcPr>
            <w:tcW w:w="2268" w:type="dxa"/>
            <w:vAlign w:val="center"/>
          </w:tcPr>
          <w:p>
            <w:pPr>
              <w:pStyle w:val="14"/>
            </w:pPr>
            <w: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执法覆盖率</w:t>
            </w:r>
          </w:p>
        </w:tc>
        <w:tc>
          <w:tcPr>
            <w:tcW w:w="2835" w:type="dxa"/>
            <w:vAlign w:val="center"/>
          </w:tcPr>
          <w:p>
            <w:pPr>
              <w:pStyle w:val="14"/>
            </w:pPr>
            <w:r>
              <w:t>执法检查企业的家数占计划检查企业总数的比率</w:t>
            </w:r>
          </w:p>
        </w:tc>
        <w:tc>
          <w:tcPr>
            <w:tcW w:w="2551" w:type="dxa"/>
            <w:vAlign w:val="center"/>
          </w:tcPr>
          <w:p>
            <w:pPr>
              <w:pStyle w:val="14"/>
            </w:pPr>
            <w:r>
              <w:t>≥90%</w:t>
            </w:r>
          </w:p>
        </w:tc>
        <w:tc>
          <w:tcPr>
            <w:tcW w:w="2268" w:type="dxa"/>
            <w:vAlign w:val="center"/>
          </w:tcPr>
          <w:p>
            <w:pPr>
              <w:pStyle w:val="14"/>
            </w:pPr>
            <w: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检查企业满意度</w:t>
            </w:r>
          </w:p>
        </w:tc>
        <w:tc>
          <w:tcPr>
            <w:tcW w:w="2835" w:type="dxa"/>
            <w:vAlign w:val="center"/>
          </w:tcPr>
          <w:p>
            <w:pPr>
              <w:pStyle w:val="14"/>
            </w:pPr>
            <w:r>
              <w:t>被检查的企业满意度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、防汛资金绩效目标表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1.定期对库房安全管理进检查，确保库房符合防汛物资保管安全要求。</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租用库房面积</w:t>
            </w:r>
          </w:p>
        </w:tc>
        <w:tc>
          <w:tcPr>
            <w:tcW w:w="2835" w:type="dxa"/>
            <w:vAlign w:val="center"/>
          </w:tcPr>
          <w:p>
            <w:pPr>
              <w:pStyle w:val="14"/>
            </w:pPr>
            <w:r>
              <w:t>所租用库房的面积</w:t>
            </w:r>
          </w:p>
        </w:tc>
        <w:tc>
          <w:tcPr>
            <w:tcW w:w="2551" w:type="dxa"/>
            <w:vAlign w:val="center"/>
          </w:tcPr>
          <w:p>
            <w:pPr>
              <w:pStyle w:val="14"/>
            </w:pPr>
            <w:r>
              <w:t>≥1000㎡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库房质量</w:t>
            </w:r>
          </w:p>
        </w:tc>
        <w:tc>
          <w:tcPr>
            <w:tcW w:w="2835" w:type="dxa"/>
            <w:vAlign w:val="center"/>
          </w:tcPr>
          <w:p>
            <w:pPr>
              <w:pStyle w:val="14"/>
            </w:pPr>
            <w:r>
              <w:t>所租库房质量要求</w:t>
            </w:r>
          </w:p>
        </w:tc>
        <w:tc>
          <w:tcPr>
            <w:tcW w:w="2551" w:type="dxa"/>
            <w:vAlign w:val="center"/>
          </w:tcPr>
          <w:p>
            <w:pPr>
              <w:pStyle w:val="14"/>
            </w:pPr>
            <w:r>
              <w:t>符合合同约定</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拨付租赁费时间</w:t>
            </w:r>
          </w:p>
        </w:tc>
        <w:tc>
          <w:tcPr>
            <w:tcW w:w="2551" w:type="dxa"/>
            <w:vAlign w:val="center"/>
          </w:tcPr>
          <w:p>
            <w:pPr>
              <w:pStyle w:val="14"/>
            </w:pPr>
            <w:r>
              <w:t>2022年10月底前</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租赁费用</w:t>
            </w:r>
          </w:p>
        </w:tc>
        <w:tc>
          <w:tcPr>
            <w:tcW w:w="2835" w:type="dxa"/>
            <w:vAlign w:val="center"/>
          </w:tcPr>
          <w:p>
            <w:pPr>
              <w:pStyle w:val="14"/>
            </w:pPr>
            <w:r>
              <w:t>租用库房的费用</w:t>
            </w:r>
          </w:p>
        </w:tc>
        <w:tc>
          <w:tcPr>
            <w:tcW w:w="2551" w:type="dxa"/>
            <w:vAlign w:val="center"/>
          </w:tcPr>
          <w:p>
            <w:pPr>
              <w:pStyle w:val="14"/>
            </w:pPr>
            <w:r>
              <w:t>≤15万元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保障防汛物资供应，及时应对汛情</w:t>
            </w:r>
          </w:p>
        </w:tc>
        <w:tc>
          <w:tcPr>
            <w:tcW w:w="2835" w:type="dxa"/>
            <w:vAlign w:val="center"/>
          </w:tcPr>
          <w:p>
            <w:pPr>
              <w:pStyle w:val="14"/>
            </w:pPr>
            <w:r>
              <w:t>保障防汛应急物资完好，能够及时应对汛情。</w:t>
            </w:r>
          </w:p>
        </w:tc>
        <w:tc>
          <w:tcPr>
            <w:tcW w:w="2551" w:type="dxa"/>
            <w:vAlign w:val="center"/>
          </w:tcPr>
          <w:p>
            <w:pPr>
              <w:pStyle w:val="14"/>
            </w:pPr>
            <w:r>
              <w:t>效果显著</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物资使用人员满意度</w:t>
            </w:r>
          </w:p>
        </w:tc>
        <w:tc>
          <w:tcPr>
            <w:tcW w:w="2835" w:type="dxa"/>
            <w:vAlign w:val="center"/>
          </w:tcPr>
          <w:p>
            <w:pPr>
              <w:pStyle w:val="14"/>
            </w:pPr>
            <w:r>
              <w:t>物资使用人员满意度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、农村住房保险补助资金绩效目标表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1.通过为农户提供自然灾害保险补助资金，降低农户受灾后的经济损失，有效保障受灾群众的日常生活。</w:t>
            </w:r>
          </w:p>
          <w:p>
            <w:pPr>
              <w:pStyle w:val="14"/>
            </w:pPr>
            <w:r>
              <w:t>2."通过协调保险公司为受灾农户进行理赔，使保险赔率达到100%。</w:t>
            </w:r>
          </w:p>
          <w:p>
            <w:pPr>
              <w:pStyle w:val="14"/>
            </w:pP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参保时间</w:t>
            </w:r>
          </w:p>
        </w:tc>
        <w:tc>
          <w:tcPr>
            <w:tcW w:w="2835" w:type="dxa"/>
            <w:vAlign w:val="center"/>
          </w:tcPr>
          <w:p>
            <w:pPr>
              <w:pStyle w:val="14"/>
            </w:pPr>
            <w:r>
              <w:t>为参保农户上保险时间</w:t>
            </w:r>
          </w:p>
        </w:tc>
        <w:tc>
          <w:tcPr>
            <w:tcW w:w="2551" w:type="dxa"/>
            <w:vAlign w:val="center"/>
          </w:tcPr>
          <w:p>
            <w:pPr>
              <w:pStyle w:val="14"/>
            </w:pPr>
            <w:r>
              <w:t>5月底之前</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参加农村保险户数</w:t>
            </w:r>
          </w:p>
        </w:tc>
        <w:tc>
          <w:tcPr>
            <w:tcW w:w="2835" w:type="dxa"/>
            <w:vAlign w:val="center"/>
          </w:tcPr>
          <w:p>
            <w:pPr>
              <w:pStyle w:val="14"/>
            </w:pPr>
            <w:r>
              <w:t>参加农村住房保险的户数</w:t>
            </w:r>
          </w:p>
        </w:tc>
        <w:tc>
          <w:tcPr>
            <w:tcW w:w="2551" w:type="dxa"/>
            <w:vAlign w:val="center"/>
          </w:tcPr>
          <w:p>
            <w:pPr>
              <w:pStyle w:val="14"/>
            </w:pPr>
            <w:r>
              <w:t>≥14.97万户</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参保户数的准确性</w:t>
            </w:r>
          </w:p>
        </w:tc>
        <w:tc>
          <w:tcPr>
            <w:tcW w:w="2835" w:type="dxa"/>
            <w:vAlign w:val="center"/>
          </w:tcPr>
          <w:p>
            <w:pPr>
              <w:pStyle w:val="14"/>
            </w:pPr>
            <w:r>
              <w:t>参保户数的准确性</w:t>
            </w:r>
          </w:p>
        </w:tc>
        <w:tc>
          <w:tcPr>
            <w:tcW w:w="2551" w:type="dxa"/>
            <w:vAlign w:val="center"/>
          </w:tcPr>
          <w:p>
            <w:pPr>
              <w:pStyle w:val="14"/>
            </w:pPr>
            <w:r>
              <w:t>100%</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为农户提供保险补助的金额</w:t>
            </w:r>
          </w:p>
        </w:tc>
        <w:tc>
          <w:tcPr>
            <w:tcW w:w="2551" w:type="dxa"/>
            <w:vAlign w:val="center"/>
          </w:tcPr>
          <w:p>
            <w:pPr>
              <w:pStyle w:val="14"/>
            </w:pPr>
            <w:r>
              <w:t>4元</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物质保障受灾群众人数覆盖率</w:t>
            </w:r>
          </w:p>
        </w:tc>
        <w:tc>
          <w:tcPr>
            <w:tcW w:w="2835" w:type="dxa"/>
            <w:vAlign w:val="center"/>
          </w:tcPr>
          <w:p>
            <w:pPr>
              <w:pStyle w:val="14"/>
            </w:pPr>
            <w:r>
              <w:t>享受物资保障额受灾群众量占受灾群众总数的比率</w:t>
            </w:r>
          </w:p>
        </w:tc>
        <w:tc>
          <w:tcPr>
            <w:tcW w:w="2551" w:type="dxa"/>
            <w:vAlign w:val="center"/>
          </w:tcPr>
          <w:p>
            <w:pPr>
              <w:pStyle w:val="14"/>
            </w:pPr>
            <w:r>
              <w:t>100%</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理赔对象满意度</w:t>
            </w:r>
          </w:p>
        </w:tc>
        <w:tc>
          <w:tcPr>
            <w:tcW w:w="2835" w:type="dxa"/>
            <w:vAlign w:val="center"/>
          </w:tcPr>
          <w:p>
            <w:pPr>
              <w:pStyle w:val="14"/>
            </w:pPr>
            <w:r>
              <w:t>问卷调查中，满意和较满意的救助对象数量占调研对象总数的比率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、应急防汛资金绩效目标表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1.通过对防汛物资维修、保养及预防性试验，确保防汛应急物资正常使用，为灾情发生后提供有效的应急物资保障。</w:t>
            </w:r>
          </w:p>
          <w:p>
            <w:pPr>
              <w:pStyle w:val="14"/>
            </w:pPr>
          </w:p>
          <w:p>
            <w:pPr>
              <w:pStyle w:val="14"/>
            </w:pPr>
            <w:r>
              <w:t>2.通过开展防汛转移安置等应急措施，使灾害发生时能够迅速反应，降低人民群众生命和财产损失。</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物资购置数量</w:t>
            </w:r>
          </w:p>
        </w:tc>
        <w:tc>
          <w:tcPr>
            <w:tcW w:w="2835" w:type="dxa"/>
            <w:vAlign w:val="center"/>
          </w:tcPr>
          <w:p>
            <w:pPr>
              <w:pStyle w:val="14"/>
            </w:pPr>
            <w:r>
              <w:t>采购应急防汛物资</w:t>
            </w:r>
          </w:p>
        </w:tc>
        <w:tc>
          <w:tcPr>
            <w:tcW w:w="2551" w:type="dxa"/>
            <w:vAlign w:val="center"/>
          </w:tcPr>
          <w:p>
            <w:pPr>
              <w:pStyle w:val="14"/>
            </w:pPr>
            <w:r>
              <w:t>按照防汛应急要求</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储备物资质量完好率</w:t>
            </w:r>
          </w:p>
        </w:tc>
        <w:tc>
          <w:tcPr>
            <w:tcW w:w="2835" w:type="dxa"/>
            <w:vAlign w:val="center"/>
          </w:tcPr>
          <w:p>
            <w:pPr>
              <w:pStyle w:val="14"/>
            </w:pPr>
            <w:r>
              <w:t>通过维修、保养及预防性试验，确保防汛应急物资正常使用</w:t>
            </w:r>
          </w:p>
        </w:tc>
        <w:tc>
          <w:tcPr>
            <w:tcW w:w="2551" w:type="dxa"/>
            <w:vAlign w:val="center"/>
          </w:tcPr>
          <w:p>
            <w:pPr>
              <w:pStyle w:val="14"/>
            </w:pPr>
            <w:r>
              <w:t>≥95%</w:t>
            </w:r>
          </w:p>
        </w:tc>
        <w:tc>
          <w:tcPr>
            <w:tcW w:w="2268" w:type="dxa"/>
            <w:vAlign w:val="center"/>
          </w:tcPr>
          <w:p>
            <w:pPr>
              <w:pStyle w:val="14"/>
            </w:pPr>
            <w:r>
              <w:t>《防汛物资储备定额编制规程》、省委办公厅、省政府办公厅&lt;关于贯彻落实习近平总书记重要指示和全国重点地区防汛抗旱工作会议精神全力做好防汛抗旱工作的通知&gt;的通知》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应急涉项项目完成时间</w:t>
            </w:r>
          </w:p>
        </w:tc>
        <w:tc>
          <w:tcPr>
            <w:tcW w:w="2835" w:type="dxa"/>
            <w:vAlign w:val="center"/>
          </w:tcPr>
          <w:p>
            <w:pPr>
              <w:pStyle w:val="14"/>
            </w:pPr>
            <w:r>
              <w:t>应急涉项项目完成时间</w:t>
            </w:r>
          </w:p>
        </w:tc>
        <w:tc>
          <w:tcPr>
            <w:tcW w:w="2551" w:type="dxa"/>
            <w:vAlign w:val="center"/>
          </w:tcPr>
          <w:p>
            <w:pPr>
              <w:pStyle w:val="14"/>
            </w:pPr>
            <w:r>
              <w:t>9月底前</w:t>
            </w:r>
          </w:p>
        </w:tc>
        <w:tc>
          <w:tcPr>
            <w:tcW w:w="2268" w:type="dxa"/>
            <w:vAlign w:val="center"/>
          </w:tcPr>
          <w:p>
            <w:pPr>
              <w:pStyle w:val="14"/>
            </w:pPr>
            <w:r>
              <w:t>《防汛物资储备定额编制规程》、省委办公厅、省政府办公厅&lt;关于贯彻落实习近平总书记重要指示和全国重点地区防汛抗旱工作会议精神全力做好防汛抗旱工作的通知&gt;的通知》》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≤300万元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人员伤亡数</w:t>
            </w:r>
          </w:p>
        </w:tc>
        <w:tc>
          <w:tcPr>
            <w:tcW w:w="2835" w:type="dxa"/>
            <w:vAlign w:val="center"/>
          </w:tcPr>
          <w:p>
            <w:pPr>
              <w:pStyle w:val="14"/>
            </w:pPr>
            <w:r>
              <w:t>通过应急抢险，减少发生洪水灾害时人中伤亡，提高防汛保障能力，提高救援力量，确保洪灾发生时实现零伤亡</w:t>
            </w:r>
          </w:p>
        </w:tc>
        <w:tc>
          <w:tcPr>
            <w:tcW w:w="2551" w:type="dxa"/>
            <w:vAlign w:val="center"/>
          </w:tcPr>
          <w:p>
            <w:pPr>
              <w:pStyle w:val="14"/>
            </w:pPr>
            <w:r>
              <w:t>&gt;1人</w:t>
            </w:r>
          </w:p>
        </w:tc>
        <w:tc>
          <w:tcPr>
            <w:tcW w:w="2268" w:type="dxa"/>
            <w:vAlign w:val="center"/>
          </w:tcPr>
          <w:p>
            <w:pPr>
              <w:pStyle w:val="14"/>
            </w:pPr>
            <w:r>
              <w:t>《防汛物资储备定额编制规程》、省委办公厅、省政府办公厅&lt;关于贯彻落实习近平总书记重要指示和全国重点地区防汛抗旱工作会议精神全力做好防汛抗旱工作的通知&gt;的通知》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群众对当年防汛工作的满意度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、应急管理宣传教育培训经费绩效目标表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1.开展安全生产宣传培训的次数达到15次</w:t>
            </w:r>
          </w:p>
          <w:p>
            <w:pPr>
              <w:pStyle w:val="14"/>
            </w:pPr>
          </w:p>
          <w:p>
            <w:pPr>
              <w:pStyle w:val="14"/>
            </w:pPr>
            <w:r>
              <w:t>2.参加安全生产宣传培训的人数达到2750人</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培训的次数</w:t>
            </w:r>
          </w:p>
        </w:tc>
        <w:tc>
          <w:tcPr>
            <w:tcW w:w="2835" w:type="dxa"/>
            <w:vAlign w:val="center"/>
          </w:tcPr>
          <w:p>
            <w:pPr>
              <w:pStyle w:val="14"/>
            </w:pPr>
            <w:r>
              <w:t>开展安全生产宣传培训的次数</w:t>
            </w:r>
          </w:p>
        </w:tc>
        <w:tc>
          <w:tcPr>
            <w:tcW w:w="2551" w:type="dxa"/>
            <w:vAlign w:val="center"/>
          </w:tcPr>
          <w:p>
            <w:pPr>
              <w:pStyle w:val="14"/>
            </w:pPr>
            <w:r>
              <w:t>≥15次</w:t>
            </w:r>
          </w:p>
        </w:tc>
        <w:tc>
          <w:tcPr>
            <w:tcW w:w="2268" w:type="dxa"/>
            <w:vAlign w:val="center"/>
          </w:tcPr>
          <w:p>
            <w:pPr>
              <w:pStyle w:val="14"/>
            </w:pPr>
            <w: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培训的人数</w:t>
            </w:r>
          </w:p>
        </w:tc>
        <w:tc>
          <w:tcPr>
            <w:tcW w:w="2835" w:type="dxa"/>
            <w:vAlign w:val="center"/>
          </w:tcPr>
          <w:p>
            <w:pPr>
              <w:pStyle w:val="14"/>
            </w:pPr>
            <w:r>
              <w:t>参加安全生产宣传培训的人数</w:t>
            </w:r>
          </w:p>
        </w:tc>
        <w:tc>
          <w:tcPr>
            <w:tcW w:w="2551" w:type="dxa"/>
            <w:vAlign w:val="center"/>
          </w:tcPr>
          <w:p>
            <w:pPr>
              <w:pStyle w:val="14"/>
            </w:pPr>
            <w:r>
              <w:t>≥2750人</w:t>
            </w:r>
          </w:p>
        </w:tc>
        <w:tc>
          <w:tcPr>
            <w:tcW w:w="2268" w:type="dxa"/>
            <w:vAlign w:val="center"/>
          </w:tcPr>
          <w:p>
            <w:pPr>
              <w:pStyle w:val="14"/>
            </w:pPr>
            <w: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培训合格的人数占培训人数的比率</w:t>
            </w:r>
          </w:p>
        </w:tc>
        <w:tc>
          <w:tcPr>
            <w:tcW w:w="2551" w:type="dxa"/>
            <w:vAlign w:val="center"/>
          </w:tcPr>
          <w:p>
            <w:pPr>
              <w:pStyle w:val="14"/>
            </w:pPr>
            <w:r>
              <w:t>≥95%</w:t>
            </w:r>
          </w:p>
        </w:tc>
        <w:tc>
          <w:tcPr>
            <w:tcW w:w="2268" w:type="dxa"/>
            <w:vAlign w:val="center"/>
          </w:tcPr>
          <w:p>
            <w:pPr>
              <w:pStyle w:val="14"/>
            </w:pPr>
            <w: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培训工作完成时间</w:t>
            </w:r>
          </w:p>
        </w:tc>
        <w:tc>
          <w:tcPr>
            <w:tcW w:w="2835" w:type="dxa"/>
            <w:vAlign w:val="center"/>
          </w:tcPr>
          <w:p>
            <w:pPr>
              <w:pStyle w:val="14"/>
            </w:pPr>
            <w:r>
              <w:t>培训工作完成时间</w:t>
            </w:r>
          </w:p>
        </w:tc>
        <w:tc>
          <w:tcPr>
            <w:tcW w:w="2551" w:type="dxa"/>
            <w:vAlign w:val="center"/>
          </w:tcPr>
          <w:p>
            <w:pPr>
              <w:pStyle w:val="14"/>
            </w:pPr>
            <w:r>
              <w:t>≤12月份</w:t>
            </w:r>
          </w:p>
        </w:tc>
        <w:tc>
          <w:tcPr>
            <w:tcW w:w="2268" w:type="dxa"/>
            <w:vAlign w:val="center"/>
          </w:tcPr>
          <w:p>
            <w:pPr>
              <w:pStyle w:val="14"/>
            </w:pPr>
            <w: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人均培训费用</w:t>
            </w:r>
          </w:p>
        </w:tc>
        <w:tc>
          <w:tcPr>
            <w:tcW w:w="2835" w:type="dxa"/>
            <w:vAlign w:val="center"/>
          </w:tcPr>
          <w:p>
            <w:pPr>
              <w:pStyle w:val="14"/>
            </w:pPr>
            <w:r>
              <w:t>人均培训费用</w:t>
            </w:r>
          </w:p>
        </w:tc>
        <w:tc>
          <w:tcPr>
            <w:tcW w:w="2551" w:type="dxa"/>
            <w:vAlign w:val="center"/>
          </w:tcPr>
          <w:p>
            <w:pPr>
              <w:pStyle w:val="14"/>
            </w:pPr>
            <w:r>
              <w:t>≤90.91元</w:t>
            </w:r>
          </w:p>
        </w:tc>
        <w:tc>
          <w:tcPr>
            <w:tcW w:w="2268" w:type="dxa"/>
            <w:vAlign w:val="center"/>
          </w:tcPr>
          <w:p>
            <w:pPr>
              <w:pStyle w:val="14"/>
            </w:pPr>
            <w: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安全培训普及率</w:t>
            </w:r>
          </w:p>
        </w:tc>
        <w:tc>
          <w:tcPr>
            <w:tcW w:w="2835" w:type="dxa"/>
            <w:vAlign w:val="center"/>
          </w:tcPr>
          <w:p>
            <w:pPr>
              <w:pStyle w:val="14"/>
            </w:pPr>
            <w:r>
              <w:t>培训企业的数量占全市企业总数的比率</w:t>
            </w:r>
          </w:p>
        </w:tc>
        <w:tc>
          <w:tcPr>
            <w:tcW w:w="2551" w:type="dxa"/>
            <w:vAlign w:val="center"/>
          </w:tcPr>
          <w:p>
            <w:pPr>
              <w:pStyle w:val="14"/>
            </w:pPr>
            <w:r>
              <w:t>≥85%</w:t>
            </w:r>
          </w:p>
        </w:tc>
        <w:tc>
          <w:tcPr>
            <w:tcW w:w="2268" w:type="dxa"/>
            <w:vAlign w:val="center"/>
          </w:tcPr>
          <w:p>
            <w:pPr>
              <w:pStyle w:val="14"/>
            </w:pPr>
            <w: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培训对象的满意度</w:t>
            </w:r>
          </w:p>
        </w:tc>
        <w:tc>
          <w:tcPr>
            <w:tcW w:w="2835" w:type="dxa"/>
            <w:vAlign w:val="center"/>
          </w:tcPr>
          <w:p>
            <w:pPr>
              <w:pStyle w:val="14"/>
            </w:pPr>
            <w:r>
              <w:t>培训对象的满意度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、应急演练经费绩效目标表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1.聘请第三方专业机构，制定演练方案，并组织实施，分别于6月份组织一次全市应急队伍应急演练，于10月份组织一次安全生产事故应急演练。</w:t>
            </w:r>
          </w:p>
          <w:p>
            <w:pPr>
              <w:pStyle w:val="14"/>
            </w:pPr>
          </w:p>
          <w:p>
            <w:pPr>
              <w:pStyle w:val="14"/>
            </w:pPr>
            <w:r>
              <w:t>2.参演人员、观摩人数达到300人以上。</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符合演练方案要求</w:t>
            </w:r>
          </w:p>
        </w:tc>
        <w:tc>
          <w:tcPr>
            <w:tcW w:w="2835" w:type="dxa"/>
            <w:vAlign w:val="center"/>
          </w:tcPr>
          <w:p>
            <w:pPr>
              <w:pStyle w:val="14"/>
            </w:pPr>
            <w:r>
              <w:t>符合演练方案要求</w:t>
            </w:r>
          </w:p>
        </w:tc>
        <w:tc>
          <w:tcPr>
            <w:tcW w:w="2551" w:type="dxa"/>
            <w:vAlign w:val="center"/>
          </w:tcPr>
          <w:p>
            <w:pPr>
              <w:pStyle w:val="14"/>
            </w:pPr>
            <w:r>
              <w:t>符合</w:t>
            </w:r>
          </w:p>
        </w:tc>
        <w:tc>
          <w:tcPr>
            <w:tcW w:w="2268" w:type="dxa"/>
            <w:vAlign w:val="center"/>
          </w:tcPr>
          <w:p>
            <w:pPr>
              <w:pStyle w:val="14"/>
            </w:pPr>
            <w: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举办应急演练时间</w:t>
            </w:r>
          </w:p>
        </w:tc>
        <w:tc>
          <w:tcPr>
            <w:tcW w:w="2835" w:type="dxa"/>
            <w:vAlign w:val="center"/>
          </w:tcPr>
          <w:p>
            <w:pPr>
              <w:pStyle w:val="14"/>
            </w:pPr>
            <w:r>
              <w:t>举办应急演练时间</w:t>
            </w:r>
          </w:p>
        </w:tc>
        <w:tc>
          <w:tcPr>
            <w:tcW w:w="2551" w:type="dxa"/>
            <w:vAlign w:val="center"/>
          </w:tcPr>
          <w:p>
            <w:pPr>
              <w:pStyle w:val="14"/>
            </w:pPr>
            <w:r>
              <w:t>10月底前</w:t>
            </w:r>
          </w:p>
        </w:tc>
        <w:tc>
          <w:tcPr>
            <w:tcW w:w="2268" w:type="dxa"/>
            <w:vAlign w:val="center"/>
          </w:tcPr>
          <w:p>
            <w:pPr>
              <w:pStyle w:val="14"/>
            </w:pPr>
            <w: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≤10万元</w:t>
            </w:r>
          </w:p>
        </w:tc>
        <w:tc>
          <w:tcPr>
            <w:tcW w:w="2268" w:type="dxa"/>
            <w:vAlign w:val="center"/>
          </w:tcPr>
          <w:p>
            <w:pPr>
              <w:pStyle w:val="14"/>
            </w:pPr>
            <w: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开展应急救援演练的次数</w:t>
            </w:r>
          </w:p>
        </w:tc>
        <w:tc>
          <w:tcPr>
            <w:tcW w:w="2835" w:type="dxa"/>
            <w:vAlign w:val="center"/>
          </w:tcPr>
          <w:p>
            <w:pPr>
              <w:pStyle w:val="14"/>
            </w:pPr>
            <w:r>
              <w:t>开展应急救援演练的次数</w:t>
            </w:r>
          </w:p>
        </w:tc>
        <w:tc>
          <w:tcPr>
            <w:tcW w:w="2551" w:type="dxa"/>
            <w:vAlign w:val="center"/>
          </w:tcPr>
          <w:p>
            <w:pPr>
              <w:pStyle w:val="14"/>
            </w:pPr>
            <w:r>
              <w:t>≥2次</w:t>
            </w:r>
          </w:p>
        </w:tc>
        <w:tc>
          <w:tcPr>
            <w:tcW w:w="2268" w:type="dxa"/>
            <w:vAlign w:val="center"/>
          </w:tcPr>
          <w:p>
            <w:pPr>
              <w:pStyle w:val="14"/>
            </w:pPr>
            <w: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应急救援能力</w:t>
            </w:r>
          </w:p>
        </w:tc>
        <w:tc>
          <w:tcPr>
            <w:tcW w:w="2835" w:type="dxa"/>
            <w:vAlign w:val="center"/>
          </w:tcPr>
          <w:p>
            <w:pPr>
              <w:pStyle w:val="14"/>
            </w:pPr>
            <w:r>
              <w:t>突发事件的应急救援能力</w:t>
            </w:r>
          </w:p>
        </w:tc>
        <w:tc>
          <w:tcPr>
            <w:tcW w:w="2551" w:type="dxa"/>
            <w:vAlign w:val="center"/>
          </w:tcPr>
          <w:p>
            <w:pPr>
              <w:pStyle w:val="14"/>
            </w:pPr>
            <w:r>
              <w:t>得到提升</w:t>
            </w:r>
          </w:p>
        </w:tc>
        <w:tc>
          <w:tcPr>
            <w:tcW w:w="2268" w:type="dxa"/>
            <w:vAlign w:val="center"/>
          </w:tcPr>
          <w:p>
            <w:pPr>
              <w:pStyle w:val="14"/>
            </w:pPr>
            <w: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参加演练人员的满意度</w:t>
            </w:r>
          </w:p>
        </w:tc>
        <w:tc>
          <w:tcPr>
            <w:tcW w:w="2835" w:type="dxa"/>
            <w:vAlign w:val="center"/>
          </w:tcPr>
          <w:p>
            <w:pPr>
              <w:pStyle w:val="14"/>
            </w:pPr>
            <w:r>
              <w:t>参加演练人员的满意度</w:t>
            </w:r>
          </w:p>
        </w:tc>
        <w:tc>
          <w:tcPr>
            <w:tcW w:w="2551" w:type="dxa"/>
            <w:vAlign w:val="center"/>
          </w:tcPr>
          <w:p>
            <w:pPr>
              <w:pStyle w:val="14"/>
            </w:pPr>
            <w:r>
              <w:t>≥95%</w:t>
            </w:r>
          </w:p>
        </w:tc>
        <w:tc>
          <w:tcPr>
            <w:tcW w:w="2268" w:type="dxa"/>
            <w:vAlign w:val="center"/>
          </w:tcPr>
          <w:p>
            <w:pPr>
              <w:pStyle w:val="14"/>
            </w:pPr>
            <w:r>
              <w:t>调查问卷</w:t>
            </w:r>
          </w:p>
        </w:tc>
      </w:tr>
    </w:tbl>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numPr>
          <w:ilvl w:val="0"/>
          <w:numId w:val="0"/>
        </w:numPr>
        <w:spacing w:before="0" w:after="0" w:line="240" w:lineRule="auto"/>
        <w:ind w:left="640" w:leftChars="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、安全监察监管专项经费绩效目标表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1.为我单位招聘的50名合同制人员按时发放工资并按照一定比例缴纳各类保险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发放工资和缴纳保险的人数</w:t>
            </w:r>
          </w:p>
        </w:tc>
        <w:tc>
          <w:tcPr>
            <w:tcW w:w="2551" w:type="dxa"/>
            <w:vAlign w:val="center"/>
          </w:tcPr>
          <w:p>
            <w:pPr>
              <w:pStyle w:val="14"/>
            </w:pPr>
            <w:r>
              <w:t>50人</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按照规定要求足额发放</w:t>
            </w:r>
          </w:p>
        </w:tc>
        <w:tc>
          <w:tcPr>
            <w:tcW w:w="2835" w:type="dxa"/>
            <w:vAlign w:val="center"/>
          </w:tcPr>
          <w:p>
            <w:pPr>
              <w:pStyle w:val="14"/>
            </w:pPr>
            <w:r>
              <w:t>按照规定要求足额发放</w:t>
            </w:r>
          </w:p>
        </w:tc>
        <w:tc>
          <w:tcPr>
            <w:tcW w:w="2551" w:type="dxa"/>
            <w:vAlign w:val="center"/>
          </w:tcPr>
          <w:p>
            <w:pPr>
              <w:pStyle w:val="14"/>
            </w:pPr>
            <w:r>
              <w:t>符合规定</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发放工资和缴纳保险的时间</w:t>
            </w:r>
          </w:p>
        </w:tc>
        <w:tc>
          <w:tcPr>
            <w:tcW w:w="2551" w:type="dxa"/>
            <w:vAlign w:val="center"/>
          </w:tcPr>
          <w:p>
            <w:pPr>
              <w:pStyle w:val="14"/>
            </w:pPr>
            <w:r>
              <w:t>每月10日前发放</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发放工资和缴纳保险的金额</w:t>
            </w:r>
          </w:p>
        </w:tc>
        <w:tc>
          <w:tcPr>
            <w:tcW w:w="2551" w:type="dxa"/>
            <w:vAlign w:val="center"/>
          </w:tcPr>
          <w:p>
            <w:pPr>
              <w:pStyle w:val="14"/>
            </w:pPr>
            <w:r>
              <w:t>不超过规定标准</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保障应急管理工作需求</w:t>
            </w:r>
          </w:p>
        </w:tc>
        <w:tc>
          <w:tcPr>
            <w:tcW w:w="2835" w:type="dxa"/>
            <w:vAlign w:val="center"/>
          </w:tcPr>
          <w:p>
            <w:pPr>
              <w:pStyle w:val="14"/>
            </w:pPr>
            <w:r>
              <w:t>保障应急管理工作需求</w:t>
            </w:r>
          </w:p>
        </w:tc>
        <w:tc>
          <w:tcPr>
            <w:tcW w:w="2551" w:type="dxa"/>
            <w:vAlign w:val="center"/>
          </w:tcPr>
          <w:p>
            <w:pPr>
              <w:pStyle w:val="14"/>
            </w:pPr>
            <w:r>
              <w:t>保障应急管理工作</w:t>
            </w:r>
          </w:p>
        </w:tc>
        <w:tc>
          <w:tcPr>
            <w:tcW w:w="2268" w:type="dxa"/>
            <w:vAlign w:val="center"/>
          </w:tcPr>
          <w:p>
            <w:pPr>
              <w:pStyle w:val="14"/>
            </w:pPr>
            <w: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相应岗位管理人员满意度</w:t>
            </w:r>
          </w:p>
        </w:tc>
        <w:tc>
          <w:tcPr>
            <w:tcW w:w="2835" w:type="dxa"/>
            <w:vAlign w:val="center"/>
          </w:tcPr>
          <w:p>
            <w:pPr>
              <w:pStyle w:val="14"/>
            </w:pPr>
            <w:r>
              <w:t>相应岗位管理人员满意度</w:t>
            </w:r>
          </w:p>
        </w:tc>
        <w:tc>
          <w:tcPr>
            <w:tcW w:w="2551" w:type="dxa"/>
            <w:vAlign w:val="center"/>
          </w:tcPr>
          <w:p>
            <w:pPr>
              <w:pStyle w:val="14"/>
            </w:pPr>
            <w:r>
              <w:t>≥95%</w:t>
            </w:r>
          </w:p>
        </w:tc>
        <w:tc>
          <w:tcPr>
            <w:tcW w:w="2268" w:type="dxa"/>
            <w:vAlign w:val="center"/>
          </w:tcPr>
          <w:p>
            <w:pPr>
              <w:pStyle w:val="14"/>
            </w:pPr>
            <w:r>
              <w:t>调查问卷</w:t>
            </w:r>
          </w:p>
        </w:tc>
      </w:tr>
    </w:tbl>
    <w:p>
      <w:pPr>
        <w:sectPr>
          <w:pgSz w:w="11900" w:h="16840"/>
          <w:pgMar w:top="1020" w:right="1134" w:bottom="1020" w:left="1361" w:header="720" w:footer="720" w:gutter="0"/>
          <w:cols w:space="720" w:num="1"/>
        </w:sect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2022年，霸州市应急管理局安排政府采购预算0.00万元。具体内容见下表。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904霸州市应急管理局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霸州市应急管理局（含所属单位）上年末固定资产金额为</w:t>
      </w:r>
      <w:r>
        <w:rPr>
          <w:rFonts w:hint="eastAsia" w:eastAsia="方正仿宋_GBK" w:cs="Times New Roman"/>
          <w:b w:val="0"/>
          <w:color w:val="000000"/>
          <w:sz w:val="28"/>
          <w:lang w:val="en-US" w:eastAsia="zh-CN"/>
        </w:rPr>
        <w:t>455.40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904霸州市应急管理局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ascii="宋体" w:hAnsi="宋体" w:eastAsia="宋体" w:cs="宋体"/>
                <w:kern w:val="0"/>
                <w:sz w:val="22"/>
              </w:rPr>
              <w:t>资产总额</w:t>
            </w:r>
          </w:p>
        </w:tc>
        <w:tc>
          <w:tcPr>
            <w:tcW w:w="4933" w:type="dxa"/>
            <w:vAlign w:val="center"/>
          </w:tcPr>
          <w:p>
            <w:pPr>
              <w:widowControl/>
              <w:jc w:val="center"/>
            </w:pPr>
            <w:r>
              <w:rPr>
                <w:rFonts w:hint="eastAsia" w:ascii="宋体" w:hAnsi="宋体" w:eastAsia="宋体" w:cs="宋体"/>
                <w:kern w:val="0"/>
                <w:sz w:val="22"/>
              </w:rPr>
              <w:t>——</w:t>
            </w:r>
          </w:p>
        </w:tc>
        <w:tc>
          <w:tcPr>
            <w:tcW w:w="4933" w:type="dxa"/>
            <w:vAlign w:val="center"/>
          </w:tcPr>
          <w:p>
            <w:pPr>
              <w:widowControl/>
              <w:jc w:val="center"/>
              <w:rPr>
                <w:rFonts w:hint="default"/>
                <w:lang w:val="en-US"/>
              </w:rPr>
            </w:pPr>
            <w:r>
              <w:rPr>
                <w:rFonts w:hint="eastAsia" w:ascii="宋体" w:hAnsi="宋体" w:eastAsia="宋体" w:cs="宋体"/>
                <w:kern w:val="0"/>
                <w:sz w:val="22"/>
                <w:lang w:val="en-US" w:eastAsia="zh-CN"/>
              </w:rPr>
              <w:t>455.40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eastAsia="宋体" w:cs="宋体"/>
                <w:kern w:val="0"/>
                <w:sz w:val="22"/>
              </w:rPr>
              <w:t>1、房屋（平方米）</w:t>
            </w:r>
          </w:p>
        </w:tc>
        <w:tc>
          <w:tcPr>
            <w:tcW w:w="4933" w:type="dxa"/>
            <w:vAlign w:val="center"/>
          </w:tcPr>
          <w:p>
            <w:pPr>
              <w:widowControl/>
              <w:jc w:val="center"/>
            </w:pPr>
          </w:p>
        </w:tc>
        <w:tc>
          <w:tcPr>
            <w:tcW w:w="4933" w:type="dxa"/>
            <w:vAlign w:val="center"/>
          </w:tcPr>
          <w:p>
            <w:pPr>
              <w:widowControl/>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eastAsia="宋体" w:cs="宋体"/>
                <w:kern w:val="0"/>
                <w:sz w:val="22"/>
              </w:rPr>
              <w:t xml:space="preserve">   其中：办公用房（平方米）</w:t>
            </w:r>
          </w:p>
        </w:tc>
        <w:tc>
          <w:tcPr>
            <w:tcW w:w="4933" w:type="dxa"/>
            <w:vAlign w:val="center"/>
          </w:tcPr>
          <w:p>
            <w:pPr>
              <w:widowControl/>
              <w:jc w:val="center"/>
            </w:pPr>
          </w:p>
        </w:tc>
        <w:tc>
          <w:tcPr>
            <w:tcW w:w="4933" w:type="dxa"/>
            <w:vAlign w:val="center"/>
          </w:tcPr>
          <w:p>
            <w:pPr>
              <w:widowControl/>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eastAsia="宋体" w:cs="宋体"/>
                <w:kern w:val="0"/>
                <w:sz w:val="22"/>
              </w:rPr>
              <w:t>2、车辆（台、辆）</w:t>
            </w:r>
          </w:p>
        </w:tc>
        <w:tc>
          <w:tcPr>
            <w:tcW w:w="4933" w:type="dxa"/>
            <w:vAlign w:val="center"/>
          </w:tcPr>
          <w:p>
            <w:pPr>
              <w:widowControl/>
              <w:jc w:val="center"/>
            </w:pPr>
          </w:p>
        </w:tc>
        <w:tc>
          <w:tcPr>
            <w:tcW w:w="4933" w:type="dxa"/>
            <w:vAlign w:val="center"/>
          </w:tcPr>
          <w:p>
            <w:pPr>
              <w:widowControl/>
              <w:jc w:val="center"/>
              <w:rPr>
                <w:rFonts w:hint="default"/>
                <w:lang w:val="en-US"/>
              </w:rPr>
            </w:pPr>
            <w:r>
              <w:rPr>
                <w:rFonts w:hint="eastAsia" w:ascii="宋体" w:hAnsi="宋体" w:eastAsia="宋体" w:cs="宋体"/>
                <w:kern w:val="0"/>
                <w:sz w:val="22"/>
                <w:lang w:val="en-US" w:eastAsia="zh-CN"/>
              </w:rPr>
              <w:t>107.22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eastAsia="宋体" w:cs="宋体"/>
                <w:kern w:val="0"/>
                <w:sz w:val="22"/>
              </w:rPr>
              <w:t>3、单价在20万元以上的设备</w:t>
            </w:r>
          </w:p>
        </w:tc>
        <w:tc>
          <w:tcPr>
            <w:tcW w:w="4933" w:type="dxa"/>
            <w:vAlign w:val="center"/>
          </w:tcPr>
          <w:p>
            <w:pPr>
              <w:widowControl/>
              <w:jc w:val="center"/>
            </w:pPr>
          </w:p>
        </w:tc>
        <w:tc>
          <w:tcPr>
            <w:tcW w:w="4933" w:type="dxa"/>
            <w:vAlign w:val="center"/>
          </w:tcPr>
          <w:p>
            <w:pPr>
              <w:widowControl/>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eastAsia="宋体" w:cs="宋体"/>
                <w:kern w:val="0"/>
                <w:sz w:val="22"/>
              </w:rPr>
              <w:t>4、其他固定资产</w:t>
            </w:r>
          </w:p>
        </w:tc>
        <w:tc>
          <w:tcPr>
            <w:tcW w:w="4933" w:type="dxa"/>
            <w:vAlign w:val="center"/>
          </w:tcPr>
          <w:p>
            <w:pPr>
              <w:widowControl/>
              <w:jc w:val="center"/>
            </w:pPr>
          </w:p>
        </w:tc>
        <w:tc>
          <w:tcPr>
            <w:tcW w:w="4933" w:type="dxa"/>
            <w:vAlign w:val="center"/>
          </w:tcPr>
          <w:p>
            <w:pPr>
              <w:widowControl/>
              <w:jc w:val="center"/>
              <w:rPr>
                <w:rFonts w:hint="default"/>
                <w:lang w:val="en-US"/>
              </w:rPr>
            </w:pPr>
            <w:r>
              <w:rPr>
                <w:rFonts w:hint="eastAsia" w:ascii="宋体" w:hAnsi="宋体" w:eastAsia="宋体" w:cs="宋体"/>
                <w:kern w:val="0"/>
                <w:sz w:val="22"/>
                <w:lang w:val="en-US" w:eastAsia="zh-CN"/>
              </w:rPr>
              <w:t>348.18</w:t>
            </w:r>
          </w:p>
        </w:tc>
      </w:tr>
    </w:tbl>
    <w:p>
      <w:pPr>
        <w:spacing w:before="0" w:after="0"/>
        <w:ind w:firstLine="640"/>
        <w:jc w:val="left"/>
        <w:outlineLvl w:val="9"/>
      </w:pP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bookmarkStart w:id="18" w:name="_GoBack"/>
      <w:bookmarkEnd w:id="18"/>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纳入级</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1900" w:h="16840"/>
      <w:pgMar w:top="1020" w:right="1134" w:bottom="1020" w:left="13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F6829"/>
    <w:multiLevelType w:val="singleLevel"/>
    <w:tmpl w:val="E53F6829"/>
    <w:lvl w:ilvl="0" w:tentative="0">
      <w:start w:val="3"/>
      <w:numFmt w:val="chineseCounting"/>
      <w:suff w:val="nothing"/>
      <w:lvlText w:val="%1、"/>
      <w:lvlJc w:val="left"/>
      <w:rPr>
        <w:rFonts w:hint="eastAsia"/>
      </w:rPr>
    </w:lvl>
  </w:abstractNum>
  <w:abstractNum w:abstractNumId="1">
    <w:nsid w:val="1B082664"/>
    <w:multiLevelType w:val="singleLevel"/>
    <w:tmpl w:val="1B082664"/>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NjhhYmVkNzRmZWJlYzBmMjc2NGU4OWExZWViNzgifQ=="/>
  </w:docVars>
  <w:rsids>
    <w:rsidRoot w:val="00000000"/>
    <w:rsid w:val="01DF2613"/>
    <w:rsid w:val="051B52E1"/>
    <w:rsid w:val="093D5889"/>
    <w:rsid w:val="0ABF52BF"/>
    <w:rsid w:val="165B29DC"/>
    <w:rsid w:val="1D234804"/>
    <w:rsid w:val="266A6C29"/>
    <w:rsid w:val="2AD12C88"/>
    <w:rsid w:val="308071AE"/>
    <w:rsid w:val="33676CEC"/>
    <w:rsid w:val="424A0AD6"/>
    <w:rsid w:val="42F72A48"/>
    <w:rsid w:val="49497813"/>
    <w:rsid w:val="4C7E2EDB"/>
    <w:rsid w:val="4CE41CEE"/>
    <w:rsid w:val="5F8415CA"/>
    <w:rsid w:val="60377297"/>
    <w:rsid w:val="6A6D558A"/>
    <w:rsid w:val="6A742625"/>
    <w:rsid w:val="6D787B22"/>
    <w:rsid w:val="6E131825"/>
    <w:rsid w:val="6F2E1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2022-03-03T16:33:46Z</dcterms:created>
  <dcterms:modified xsi:type="dcterms:W3CDTF">2022-03-03T08:33:46Z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2022-03-03T16:33:55Z</dcterms:created>
  <dcterms:modified xsi:type="dcterms:W3CDTF">2022-03-03T08:33:55Z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2022-03-03T16:33:55Z</dcterms:created>
  <dcterms:modified xsi:type="dcterms:W3CDTF">2022-03-03T08:33:55Z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2022-03-03T16:33:48Z</dcterms:created>
  <dcterms:modified xsi:type="dcterms:W3CDTF">2022-03-03T08:33:48Z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2022-03-03T16:33:47Z</dcterms:created>
  <dcterms:modified xsi:type="dcterms:W3CDTF">2022-03-03T08:33:47Z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2022-03-03T16:33:54Z</dcterms:created>
  <dcterms:modified xsi:type="dcterms:W3CDTF">2022-03-03T08:33:54Z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2022-03-03T16:33:51Z</dcterms:created>
  <dcterms:modified xsi:type="dcterms:W3CDTF">2022-03-03T08:33:51Z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2022-03-03T16:33:50Z</dcterms:created>
  <dcterms:modified xsi:type="dcterms:W3CDTF">2022-03-03T08:33:50Z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2022-03-03T16:33:50Z</dcterms:created>
  <dcterms:modified xsi:type="dcterms:W3CDTF">2022-03-03T08:33:50Z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2022-03-03T16:33:57Z</dcterms:created>
  <dcterms:modified xsi:type="dcterms:W3CDTF">2022-03-03T08:33:56Z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2022-03-03T16:33:50Z</dcterms:created>
  <dcterms:modified xsi:type="dcterms:W3CDTF">2022-03-03T08:33:50Z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2022-03-03T16:33:50Z</dcterms:created>
  <dcterms:modified xsi:type="dcterms:W3CDTF">2022-03-03T08:33:50Z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2022-03-03T16:33:50Z</dcterms:created>
  <dcterms:modified xsi:type="dcterms:W3CDTF">2022-03-03T08:33:50Z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2022-03-03T16:33:47Z</dcterms:created>
  <dcterms:modified xsi:type="dcterms:W3CDTF">2022-03-03T08:33:47Z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2022-03-03T16:33:47Z</dcterms:created>
  <dcterms:modified xsi:type="dcterms:W3CDTF">2022-03-03T08:33:47Z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2022-03-03T16:33:49Z</dcterms:created>
  <dcterms:modified xsi:type="dcterms:W3CDTF">2022-03-03T08:33:48Z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2022-03-03T16:33:57Z</dcterms:created>
  <dcterms:modified xsi:type="dcterms:W3CDTF">2022-03-03T08:33:57Z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2022-03-03T16:33:48Z</dcterms:created>
  <dcterms:modified xsi:type="dcterms:W3CDTF">2022-03-03T08:33:48Z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2022-03-03T16:33:48Z</dcterms:created>
  <dcterms:modified xsi:type="dcterms:W3CDTF">2022-03-03T08:33:48Z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2022-03-03T16:33:48Z</dcterms:created>
  <dcterms:modified xsi:type="dcterms:W3CDTF">2022-03-03T08:33:48Z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2022-03-03T16:33:48Z</dcterms:created>
  <dcterms:modified xsi:type="dcterms:W3CDTF">2022-03-03T08:33:48Z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2022-03-03T16:33:48Z</dcterms:created>
  <dcterms:modified xsi:type="dcterms:W3CDTF">2022-03-03T08:33:48Z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2022-03-03T16:33:56Z</dcterms:created>
  <dcterms:modified xsi:type="dcterms:W3CDTF">2022-03-03T08:33:56Z</dcterms:modified>
</cp:coreProperties>
</file>

<file path=customXml/itemProps1.xml><?xml version="1.0" encoding="utf-8"?>
<ds:datastoreItem xmlns:ds="http://schemas.openxmlformats.org/officeDocument/2006/customXml" ds:itemID="{215b323f-6652-4efc-a051-e76a8066e230}">
  <ds:schemaRefs/>
</ds:datastoreItem>
</file>

<file path=customXml/itemProps10.xml><?xml version="1.0" encoding="utf-8"?>
<ds:datastoreItem xmlns:ds="http://schemas.openxmlformats.org/officeDocument/2006/customXml" ds:itemID="{aec4ed85-4ff3-4127-8adc-9c9e8c76a70c}">
  <ds:schemaRefs/>
</ds:datastoreItem>
</file>

<file path=customXml/itemProps11.xml><?xml version="1.0" encoding="utf-8"?>
<ds:datastoreItem xmlns:ds="http://schemas.openxmlformats.org/officeDocument/2006/customXml" ds:itemID="{315ac749-4ded-41ca-943a-d55577e4399e}">
  <ds:schemaRefs/>
</ds:datastoreItem>
</file>

<file path=customXml/itemProps12.xml><?xml version="1.0" encoding="utf-8"?>
<ds:datastoreItem xmlns:ds="http://schemas.openxmlformats.org/officeDocument/2006/customXml" ds:itemID="{2e85c0b2-b821-42b5-81f9-abd6731c5ec3}">
  <ds:schemaRefs/>
</ds:datastoreItem>
</file>

<file path=customXml/itemProps13.xml><?xml version="1.0" encoding="utf-8"?>
<ds:datastoreItem xmlns:ds="http://schemas.openxmlformats.org/officeDocument/2006/customXml" ds:itemID="{22eeeb7b-3384-4dd0-9f54-63490dea3de4}">
  <ds:schemaRefs/>
</ds:datastoreItem>
</file>

<file path=customXml/itemProps14.xml><?xml version="1.0" encoding="utf-8"?>
<ds:datastoreItem xmlns:ds="http://schemas.openxmlformats.org/officeDocument/2006/customXml" ds:itemID="{c66c2e34-0300-4faf-a869-360f49b64022}">
  <ds:schemaRefs/>
</ds:datastoreItem>
</file>

<file path=customXml/itemProps15.xml><?xml version="1.0" encoding="utf-8"?>
<ds:datastoreItem xmlns:ds="http://schemas.openxmlformats.org/officeDocument/2006/customXml" ds:itemID="{427ab1f1-f69e-459e-9f12-57c86d1c64b2}">
  <ds:schemaRefs/>
</ds:datastoreItem>
</file>

<file path=customXml/itemProps16.xml><?xml version="1.0" encoding="utf-8"?>
<ds:datastoreItem xmlns:ds="http://schemas.openxmlformats.org/officeDocument/2006/customXml" ds:itemID="{fe0b7165-0949-4d9a-8726-2732d8855b95}">
  <ds:schemaRefs/>
</ds:datastoreItem>
</file>

<file path=customXml/itemProps17.xml><?xml version="1.0" encoding="utf-8"?>
<ds:datastoreItem xmlns:ds="http://schemas.openxmlformats.org/officeDocument/2006/customXml" ds:itemID="{f8387e11-3207-434c-980b-17b08fb94ea4}">
  <ds:schemaRefs/>
</ds:datastoreItem>
</file>

<file path=customXml/itemProps18.xml><?xml version="1.0" encoding="utf-8"?>
<ds:datastoreItem xmlns:ds="http://schemas.openxmlformats.org/officeDocument/2006/customXml" ds:itemID="{a1427766-6f8a-47fa-afec-4928eb47e131}">
  <ds:schemaRefs/>
</ds:datastoreItem>
</file>

<file path=customXml/itemProps19.xml><?xml version="1.0" encoding="utf-8"?>
<ds:datastoreItem xmlns:ds="http://schemas.openxmlformats.org/officeDocument/2006/customXml" ds:itemID="{91e15f5c-9970-4101-8a98-7eca624f5941}">
  <ds:schemaRefs/>
</ds:datastoreItem>
</file>

<file path=customXml/itemProps2.xml><?xml version="1.0" encoding="utf-8"?>
<ds:datastoreItem xmlns:ds="http://schemas.openxmlformats.org/officeDocument/2006/customXml" ds:itemID="{85805d9d-1771-4795-9de2-e360c6d7fa4e}">
  <ds:schemaRefs/>
</ds:datastoreItem>
</file>

<file path=customXml/itemProps20.xml><?xml version="1.0" encoding="utf-8"?>
<ds:datastoreItem xmlns:ds="http://schemas.openxmlformats.org/officeDocument/2006/customXml" ds:itemID="{3e530c85-e6aa-46fe-879a-87f36391ceba}">
  <ds:schemaRefs/>
</ds:datastoreItem>
</file>

<file path=customXml/itemProps21.xml><?xml version="1.0" encoding="utf-8"?>
<ds:datastoreItem xmlns:ds="http://schemas.openxmlformats.org/officeDocument/2006/customXml" ds:itemID="{50a79573-4018-4989-8092-af432a584e2f}">
  <ds:schemaRefs/>
</ds:datastoreItem>
</file>

<file path=customXml/itemProps22.xml><?xml version="1.0" encoding="utf-8"?>
<ds:datastoreItem xmlns:ds="http://schemas.openxmlformats.org/officeDocument/2006/customXml" ds:itemID="{6e5df6e4-902d-4a2e-92c6-c5008ab142fa}">
  <ds:schemaRefs/>
</ds:datastoreItem>
</file>

<file path=customXml/itemProps23.xml><?xml version="1.0" encoding="utf-8"?>
<ds:datastoreItem xmlns:ds="http://schemas.openxmlformats.org/officeDocument/2006/customXml" ds:itemID="{88503924-ed64-4cab-bc31-98588a446d24}">
  <ds:schemaRefs/>
</ds:datastoreItem>
</file>

<file path=customXml/itemProps24.xml><?xml version="1.0" encoding="utf-8"?>
<ds:datastoreItem xmlns:ds="http://schemas.openxmlformats.org/officeDocument/2006/customXml" ds:itemID="{5568cc1a-ac58-47c7-a3aa-f0389d1925df}">
  <ds:schemaRefs/>
</ds:datastoreItem>
</file>

<file path=customXml/itemProps25.xml><?xml version="1.0" encoding="utf-8"?>
<ds:datastoreItem xmlns:ds="http://schemas.openxmlformats.org/officeDocument/2006/customXml" ds:itemID="{46cd35be-34c0-4774-8034-0faa4d8a59ae}">
  <ds:schemaRefs/>
</ds:datastoreItem>
</file>

<file path=customXml/itemProps26.xml><?xml version="1.0" encoding="utf-8"?>
<ds:datastoreItem xmlns:ds="http://schemas.openxmlformats.org/officeDocument/2006/customXml" ds:itemID="{21f21e8d-7038-4cb1-9251-d64970c4b9d6}">
  <ds:schemaRefs/>
</ds:datastoreItem>
</file>

<file path=customXml/itemProps27.xml><?xml version="1.0" encoding="utf-8"?>
<ds:datastoreItem xmlns:ds="http://schemas.openxmlformats.org/officeDocument/2006/customXml" ds:itemID="{2fb6f982-8346-4e79-a4fc-d3469257464e}">
  <ds:schemaRefs/>
</ds:datastoreItem>
</file>

<file path=customXml/itemProps28.xml><?xml version="1.0" encoding="utf-8"?>
<ds:datastoreItem xmlns:ds="http://schemas.openxmlformats.org/officeDocument/2006/customXml" ds:itemID="{394f6257-c6b4-4606-9ffa-868d23a9b32a}">
  <ds:schemaRefs/>
</ds:datastoreItem>
</file>

<file path=customXml/itemProps29.xml><?xml version="1.0" encoding="utf-8"?>
<ds:datastoreItem xmlns:ds="http://schemas.openxmlformats.org/officeDocument/2006/customXml" ds:itemID="{b7a9a191-8654-40cc-b6ea-f4cfe3ff20b6}">
  <ds:schemaRefs/>
</ds:datastoreItem>
</file>

<file path=customXml/itemProps3.xml><?xml version="1.0" encoding="utf-8"?>
<ds:datastoreItem xmlns:ds="http://schemas.openxmlformats.org/officeDocument/2006/customXml" ds:itemID="{a59adbe3-37c4-4b42-ae14-b31f2151c9fe}">
  <ds:schemaRefs/>
</ds:datastoreItem>
</file>

<file path=customXml/itemProps30.xml><?xml version="1.0" encoding="utf-8"?>
<ds:datastoreItem xmlns:ds="http://schemas.openxmlformats.org/officeDocument/2006/customXml" ds:itemID="{c4637b36-ec50-43dc-ae95-155c2a040e30}">
  <ds:schemaRefs/>
</ds:datastoreItem>
</file>

<file path=customXml/itemProps31.xml><?xml version="1.0" encoding="utf-8"?>
<ds:datastoreItem xmlns:ds="http://schemas.openxmlformats.org/officeDocument/2006/customXml" ds:itemID="{8c3199bd-a9ed-4c77-8fa7-84a8ba371b6f}">
  <ds:schemaRefs/>
</ds:datastoreItem>
</file>

<file path=customXml/itemProps32.xml><?xml version="1.0" encoding="utf-8"?>
<ds:datastoreItem xmlns:ds="http://schemas.openxmlformats.org/officeDocument/2006/customXml" ds:itemID="{72feeac8-ec47-4ead-8d72-2f968e22a385}">
  <ds:schemaRefs/>
</ds:datastoreItem>
</file>

<file path=customXml/itemProps33.xml><?xml version="1.0" encoding="utf-8"?>
<ds:datastoreItem xmlns:ds="http://schemas.openxmlformats.org/officeDocument/2006/customXml" ds:itemID="{e96b1b56-3f9c-4090-8b6f-2e5b0c8f987f}">
  <ds:schemaRefs/>
</ds:datastoreItem>
</file>

<file path=customXml/itemProps34.xml><?xml version="1.0" encoding="utf-8"?>
<ds:datastoreItem xmlns:ds="http://schemas.openxmlformats.org/officeDocument/2006/customXml" ds:itemID="{de71bddc-6ddc-4742-8bc9-56e8fe21953a}">
  <ds:schemaRefs/>
</ds:datastoreItem>
</file>

<file path=customXml/itemProps35.xml><?xml version="1.0" encoding="utf-8"?>
<ds:datastoreItem xmlns:ds="http://schemas.openxmlformats.org/officeDocument/2006/customXml" ds:itemID="{1388faff-0ae5-44d9-af5a-859501eed60e}">
  <ds:schemaRefs/>
</ds:datastoreItem>
</file>

<file path=customXml/itemProps36.xml><?xml version="1.0" encoding="utf-8"?>
<ds:datastoreItem xmlns:ds="http://schemas.openxmlformats.org/officeDocument/2006/customXml" ds:itemID="{91a23d08-8ee8-4618-b098-c9bef9595fe5}">
  <ds:schemaRefs/>
</ds:datastoreItem>
</file>

<file path=customXml/itemProps37.xml><?xml version="1.0" encoding="utf-8"?>
<ds:datastoreItem xmlns:ds="http://schemas.openxmlformats.org/officeDocument/2006/customXml" ds:itemID="{75ee653d-e4bb-4eb7-98ca-3178df4d93fe}">
  <ds:schemaRefs/>
</ds:datastoreItem>
</file>

<file path=customXml/itemProps38.xml><?xml version="1.0" encoding="utf-8"?>
<ds:datastoreItem xmlns:ds="http://schemas.openxmlformats.org/officeDocument/2006/customXml" ds:itemID="{73626fc2-a2c2-40db-aff7-b93a602fe3cd}">
  <ds:schemaRefs/>
</ds:datastoreItem>
</file>

<file path=customXml/itemProps39.xml><?xml version="1.0" encoding="utf-8"?>
<ds:datastoreItem xmlns:ds="http://schemas.openxmlformats.org/officeDocument/2006/customXml" ds:itemID="{b79e1843-05ce-4890-9587-fe6249adc5ee}">
  <ds:schemaRefs/>
</ds:datastoreItem>
</file>

<file path=customXml/itemProps4.xml><?xml version="1.0" encoding="utf-8"?>
<ds:datastoreItem xmlns:ds="http://schemas.openxmlformats.org/officeDocument/2006/customXml" ds:itemID="{00afd8ea-219b-4549-b681-cad846df8e38}">
  <ds:schemaRefs/>
</ds:datastoreItem>
</file>

<file path=customXml/itemProps40.xml><?xml version="1.0" encoding="utf-8"?>
<ds:datastoreItem xmlns:ds="http://schemas.openxmlformats.org/officeDocument/2006/customXml" ds:itemID="{af1168de-a476-4eeb-9bf5-094d3c3a4f59}">
  <ds:schemaRefs/>
</ds:datastoreItem>
</file>

<file path=customXml/itemProps41.xml><?xml version="1.0" encoding="utf-8"?>
<ds:datastoreItem xmlns:ds="http://schemas.openxmlformats.org/officeDocument/2006/customXml" ds:itemID="{a9a632fa-5f4c-4f75-9227-91c4ddb7e8b8}">
  <ds:schemaRefs/>
</ds:datastoreItem>
</file>

<file path=customXml/itemProps42.xml><?xml version="1.0" encoding="utf-8"?>
<ds:datastoreItem xmlns:ds="http://schemas.openxmlformats.org/officeDocument/2006/customXml" ds:itemID="{4c3fc9c8-c555-48e7-a590-42b5ea001bb4}">
  <ds:schemaRefs/>
</ds:datastoreItem>
</file>

<file path=customXml/itemProps43.xml><?xml version="1.0" encoding="utf-8"?>
<ds:datastoreItem xmlns:ds="http://schemas.openxmlformats.org/officeDocument/2006/customXml" ds:itemID="{9049cfb5-da0d-4fd3-987c-b70f80f8dcfa}">
  <ds:schemaRefs/>
</ds:datastoreItem>
</file>

<file path=customXml/itemProps44.xml><?xml version="1.0" encoding="utf-8"?>
<ds:datastoreItem xmlns:ds="http://schemas.openxmlformats.org/officeDocument/2006/customXml" ds:itemID="{2c9385b2-b5ab-445f-81a8-2cd29bd48be5}">
  <ds:schemaRefs/>
</ds:datastoreItem>
</file>

<file path=customXml/itemProps45.xml><?xml version="1.0" encoding="utf-8"?>
<ds:datastoreItem xmlns:ds="http://schemas.openxmlformats.org/officeDocument/2006/customXml" ds:itemID="{2c7cde6a-d8c2-4741-bb2b-01dcb146c6fa}">
  <ds:schemaRefs/>
</ds:datastoreItem>
</file>

<file path=customXml/itemProps46.xml><?xml version="1.0" encoding="utf-8"?>
<ds:datastoreItem xmlns:ds="http://schemas.openxmlformats.org/officeDocument/2006/customXml" ds:itemID="{7e794a84-b759-41be-b7b5-97fbe09b63a5}">
  <ds:schemaRefs/>
</ds:datastoreItem>
</file>

<file path=customXml/itemProps47.xml><?xml version="1.0" encoding="utf-8"?>
<ds:datastoreItem xmlns:ds="http://schemas.openxmlformats.org/officeDocument/2006/customXml" ds:itemID="{6bcfa9ee-b520-41d7-9b0d-d63da8a47c55}">
  <ds:schemaRefs/>
</ds:datastoreItem>
</file>

<file path=customXml/itemProps48.xml><?xml version="1.0" encoding="utf-8"?>
<ds:datastoreItem xmlns:ds="http://schemas.openxmlformats.org/officeDocument/2006/customXml" ds:itemID="{fa29af03-2da2-4b00-8b47-b5e477a6ba60}">
  <ds:schemaRefs/>
</ds:datastoreItem>
</file>

<file path=customXml/itemProps49.xml><?xml version="1.0" encoding="utf-8"?>
<ds:datastoreItem xmlns:ds="http://schemas.openxmlformats.org/officeDocument/2006/customXml" ds:itemID="{cbb78ed0-e6c0-4af9-97dd-3ec971e21d7d}">
  <ds:schemaRefs/>
</ds:datastoreItem>
</file>

<file path=customXml/itemProps5.xml><?xml version="1.0" encoding="utf-8"?>
<ds:datastoreItem xmlns:ds="http://schemas.openxmlformats.org/officeDocument/2006/customXml" ds:itemID="{a8e292f2-9f9d-428c-93b1-51fa8a5f43b9}">
  <ds:schemaRefs/>
</ds:datastoreItem>
</file>

<file path=customXml/itemProps50.xml><?xml version="1.0" encoding="utf-8"?>
<ds:datastoreItem xmlns:ds="http://schemas.openxmlformats.org/officeDocument/2006/customXml" ds:itemID="{58ce1c7c-e6ce-448a-a67b-e28aa9116008}">
  <ds:schemaRefs/>
</ds:datastoreItem>
</file>

<file path=customXml/itemProps51.xml><?xml version="1.0" encoding="utf-8"?>
<ds:datastoreItem xmlns:ds="http://schemas.openxmlformats.org/officeDocument/2006/customXml" ds:itemID="{9e14fabb-840a-442a-a539-fbd2147c6bc4}">
  <ds:schemaRefs/>
</ds:datastoreItem>
</file>

<file path=customXml/itemProps52.xml><?xml version="1.0" encoding="utf-8"?>
<ds:datastoreItem xmlns:ds="http://schemas.openxmlformats.org/officeDocument/2006/customXml" ds:itemID="{e73499fb-c4b5-499e-802a-d4516a8ed9c7}">
  <ds:schemaRefs/>
</ds:datastoreItem>
</file>

<file path=customXml/itemProps53.xml><?xml version="1.0" encoding="utf-8"?>
<ds:datastoreItem xmlns:ds="http://schemas.openxmlformats.org/officeDocument/2006/customXml" ds:itemID="{e1851ea0-164f-4fca-8b78-37c62e45e5b6}">
  <ds:schemaRefs/>
</ds:datastoreItem>
</file>

<file path=customXml/itemProps54.xml><?xml version="1.0" encoding="utf-8"?>
<ds:datastoreItem xmlns:ds="http://schemas.openxmlformats.org/officeDocument/2006/customXml" ds:itemID="{630e58da-00c4-491c-af8e-7dfdac1f18bd}">
  <ds:schemaRefs/>
</ds:datastoreItem>
</file>

<file path=customXml/itemProps55.xml><?xml version="1.0" encoding="utf-8"?>
<ds:datastoreItem xmlns:ds="http://schemas.openxmlformats.org/officeDocument/2006/customXml" ds:itemID="{f066649d-412c-4b78-9f19-36195a16fc2b}">
  <ds:schemaRefs/>
</ds:datastoreItem>
</file>

<file path=customXml/itemProps56.xml><?xml version="1.0" encoding="utf-8"?>
<ds:datastoreItem xmlns:ds="http://schemas.openxmlformats.org/officeDocument/2006/customXml" ds:itemID="{2a3a4d9f-a0d0-40f0-a210-a7fb02f106b3}">
  <ds:schemaRefs/>
</ds:datastoreItem>
</file>

<file path=customXml/itemProps57.xml><?xml version="1.0" encoding="utf-8"?>
<ds:datastoreItem xmlns:ds="http://schemas.openxmlformats.org/officeDocument/2006/customXml" ds:itemID="{e022baf8-405d-4e5b-b28c-8a90d2bdc088}">
  <ds:schemaRefs/>
</ds:datastoreItem>
</file>

<file path=customXml/itemProps58.xml><?xml version="1.0" encoding="utf-8"?>
<ds:datastoreItem xmlns:ds="http://schemas.openxmlformats.org/officeDocument/2006/customXml" ds:itemID="{6324128b-eef4-4327-860d-bb90bb94fe43}">
  <ds:schemaRefs/>
</ds:datastoreItem>
</file>

<file path=customXml/itemProps59.xml><?xml version="1.0" encoding="utf-8"?>
<ds:datastoreItem xmlns:ds="http://schemas.openxmlformats.org/officeDocument/2006/customXml" ds:itemID="{bec87487-27e7-4b84-ae9a-2dc292a534c7}">
  <ds:schemaRefs/>
</ds:datastoreItem>
</file>

<file path=customXml/itemProps6.xml><?xml version="1.0" encoding="utf-8"?>
<ds:datastoreItem xmlns:ds="http://schemas.openxmlformats.org/officeDocument/2006/customXml" ds:itemID="{32dfe57f-e193-4b5f-bc0d-920f0cfd7a65}">
  <ds:schemaRefs/>
</ds:datastoreItem>
</file>

<file path=customXml/itemProps60.xml><?xml version="1.0" encoding="utf-8"?>
<ds:datastoreItem xmlns:ds="http://schemas.openxmlformats.org/officeDocument/2006/customXml" ds:itemID="{8958fab0-39fb-4e2c-8295-01c7d8109d1d}">
  <ds:schemaRefs/>
</ds:datastoreItem>
</file>

<file path=customXml/itemProps61.xml><?xml version="1.0" encoding="utf-8"?>
<ds:datastoreItem xmlns:ds="http://schemas.openxmlformats.org/officeDocument/2006/customXml" ds:itemID="{e44eafbd-e7b8-442a-b55b-3d2bd6445cbd}">
  <ds:schemaRefs/>
</ds:datastoreItem>
</file>

<file path=customXml/itemProps62.xml><?xml version="1.0" encoding="utf-8"?>
<ds:datastoreItem xmlns:ds="http://schemas.openxmlformats.org/officeDocument/2006/customXml" ds:itemID="{89f714c1-7944-4c57-8fbc-4fc4e1093833}">
  <ds:schemaRefs/>
</ds:datastoreItem>
</file>

<file path=customXml/itemProps63.xml><?xml version="1.0" encoding="utf-8"?>
<ds:datastoreItem xmlns:ds="http://schemas.openxmlformats.org/officeDocument/2006/customXml" ds:itemID="{45c27942-a7e7-415f-b7a8-b33271915567}">
  <ds:schemaRefs/>
</ds:datastoreItem>
</file>

<file path=customXml/itemProps64.xml><?xml version="1.0" encoding="utf-8"?>
<ds:datastoreItem xmlns:ds="http://schemas.openxmlformats.org/officeDocument/2006/customXml" ds:itemID="{315d9aaa-c9fc-4b04-a830-2c567b7e95a6}">
  <ds:schemaRefs/>
</ds:datastoreItem>
</file>

<file path=customXml/itemProps65.xml><?xml version="1.0" encoding="utf-8"?>
<ds:datastoreItem xmlns:ds="http://schemas.openxmlformats.org/officeDocument/2006/customXml" ds:itemID="{f90aaadb-badf-4495-91d6-ddb4d70889bb}">
  <ds:schemaRefs/>
</ds:datastoreItem>
</file>

<file path=customXml/itemProps66.xml><?xml version="1.0" encoding="utf-8"?>
<ds:datastoreItem xmlns:ds="http://schemas.openxmlformats.org/officeDocument/2006/customXml" ds:itemID="{bd047af9-1e33-4e46-ae54-7a28e2f15139}">
  <ds:schemaRefs/>
</ds:datastoreItem>
</file>

<file path=customXml/itemProps67.xml><?xml version="1.0" encoding="utf-8"?>
<ds:datastoreItem xmlns:ds="http://schemas.openxmlformats.org/officeDocument/2006/customXml" ds:itemID="{e3d9406d-cc55-4eb0-8072-a4efc523ca10}">
  <ds:schemaRefs/>
</ds:datastoreItem>
</file>

<file path=customXml/itemProps68.xml><?xml version="1.0" encoding="utf-8"?>
<ds:datastoreItem xmlns:ds="http://schemas.openxmlformats.org/officeDocument/2006/customXml" ds:itemID="{2adedc89-8202-4af0-a93a-8fde798f0c35}">
  <ds:schemaRefs/>
</ds:datastoreItem>
</file>

<file path=customXml/itemProps69.xml><?xml version="1.0" encoding="utf-8"?>
<ds:datastoreItem xmlns:ds="http://schemas.openxmlformats.org/officeDocument/2006/customXml" ds:itemID="{3d0c6175-66b2-4f72-9ce2-ed94c52fcefe}">
  <ds:schemaRefs/>
</ds:datastoreItem>
</file>

<file path=customXml/itemProps7.xml><?xml version="1.0" encoding="utf-8"?>
<ds:datastoreItem xmlns:ds="http://schemas.openxmlformats.org/officeDocument/2006/customXml" ds:itemID="{1b2a805f-688a-4d2a-a573-414aa96adffa}">
  <ds:schemaRefs/>
</ds:datastoreItem>
</file>

<file path=customXml/itemProps70.xml><?xml version="1.0" encoding="utf-8"?>
<ds:datastoreItem xmlns:ds="http://schemas.openxmlformats.org/officeDocument/2006/customXml" ds:itemID="{8a26a554-019b-489e-96a9-74d51b0f8879}">
  <ds:schemaRefs/>
</ds:datastoreItem>
</file>

<file path=customXml/itemProps71.xml><?xml version="1.0" encoding="utf-8"?>
<ds:datastoreItem xmlns:ds="http://schemas.openxmlformats.org/officeDocument/2006/customXml" ds:itemID="{5fa9e2a2-45ce-4a92-9534-dc69982b4874}">
  <ds:schemaRefs/>
</ds:datastoreItem>
</file>

<file path=customXml/itemProps72.xml><?xml version="1.0" encoding="utf-8"?>
<ds:datastoreItem xmlns:ds="http://schemas.openxmlformats.org/officeDocument/2006/customXml" ds:itemID="{109b182d-822e-49cc-88d7-855a944788b2}">
  <ds:schemaRefs/>
</ds:datastoreItem>
</file>

<file path=customXml/itemProps73.xml><?xml version="1.0" encoding="utf-8"?>
<ds:datastoreItem xmlns:ds="http://schemas.openxmlformats.org/officeDocument/2006/customXml" ds:itemID="{45e45086-1909-4704-91f6-e77d8ca22f75}">
  <ds:schemaRefs/>
</ds:datastoreItem>
</file>

<file path=customXml/itemProps74.xml><?xml version="1.0" encoding="utf-8"?>
<ds:datastoreItem xmlns:ds="http://schemas.openxmlformats.org/officeDocument/2006/customXml" ds:itemID="{aa693e83-091f-42ab-a7d7-aaa2eef3aa2f}">
  <ds:schemaRefs/>
</ds:datastoreItem>
</file>

<file path=customXml/itemProps8.xml><?xml version="1.0" encoding="utf-8"?>
<ds:datastoreItem xmlns:ds="http://schemas.openxmlformats.org/officeDocument/2006/customXml" ds:itemID="{dfffc17b-f0c9-40c8-8419-f46692e96b91}">
  <ds:schemaRefs/>
</ds:datastoreItem>
</file>

<file path=customXml/itemProps9.xml><?xml version="1.0" encoding="utf-8"?>
<ds:datastoreItem xmlns:ds="http://schemas.openxmlformats.org/officeDocument/2006/customXml" ds:itemID="{8cb96c02-579f-4f42-84b9-a10d27e3ec83}">
  <ds:schemaRefs/>
</ds:datastoreItem>
</file>

<file path=docProps/app.xml><?xml version="1.0" encoding="utf-8"?>
<Properties xmlns="http://schemas.openxmlformats.org/officeDocument/2006/extended-properties" xmlns:vt="http://schemas.openxmlformats.org/officeDocument/2006/docPropsVTypes">
  <Pages>59</Pages>
  <Words>17935</Words>
  <Characters>20373</Characters>
  <TotalTime>26</TotalTime>
  <ScaleCrop>false</ScaleCrop>
  <LinksUpToDate>false</LinksUpToDate>
  <CharactersWithSpaces>20627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2022-03-03T16:33:00Z</dcterms:created>
  <dc:creator>Administrator</dc:creator>
  <cp:lastModifiedBy>Administrator</cp:lastModifiedBy>
  <dcterms:modified xsi:type="dcterms:W3CDTF">2023-08-14T07:46:00Z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A790FB6040EC4EA292027B35798C5383</vt:lpwstr>
  </property>
</Properties>
</file>